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Risk perception versus structural incentives in physician specialty choice: a Japanese panel study</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is a persistent workforce problem, and malpractice litigation is often assumed to push physicians away from high-risk fields. Using national administrative data for 12 clinical specialties in Japan (2008-2024), we tested whether litigation risk predicts physician supply and hospital facility counts. Exposure was malpractice claims per 1,000 physicians; we regressed biennial log-changes in physician and facility counts on the lagged litigation rate using specialty and wave fixed effects, clustered standard errors, and equivalence tests. Litigation rate was unrelated to physician growth (coefficient -0.0009; 95% CI -0.0043 to +0.0025; p=0.56) or facility-count growth (p=0.90), and a one-SD higher rate shifted physician growth by less than +/-1% (TOST p=0.023). Although perceived risk is high, structural incentives -- training costs, fee-for-service income, and status-quo bias -- keep physicians in high-risk fields. Reducing litigation exposure is unlikely to correct specialty maldistribution; no-fault compensation and payment design are more promising.</w:t>
      </w:r>
    </w:p>
    <w:p>
      <w:pPr>
        <w:spacing w:after="360"/>
      </w:pPr>
      <w:r>
        <w:rPr>
          <w:rFonts w:ascii="Times New Roman" w:hAnsi="Times New Roman"/>
          <w:b/>
        </w:rPr>
        <w:t xml:space="preserve">Keywords: </w:t>
      </w:r>
      <w:r>
        <w:rPr>
          <w:rFonts w:ascii="Times New Roman" w:hAnsi="Times New Roman"/>
          <w:b w:val="0"/>
          <w:i w:val="0"/>
          <w:sz w:val="24"/>
        </w:rPr>
        <w:t>behavioural public policy; malpractice litigation; physician workforce; risk perception; equivalence testing; structural incentives</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Specialty maldistribution is a persistent healthcare workforce problem: high-acuity fields such as surgery, obstetrics and gynaecology, paediatrics and anaesthesiology are widely perceived as understaffed across many health systems. (Matsumoto et al., 2010) A recurring policy intuition is that the fear of malpractice litigation and medical safety incidents pushes physicians away from these high-risk specialties. (Studdert, Mello and Brennan, 2004; Hiyama et al., 2006) If this behavioural assumption were true, reducing litigation exposure would be an instrument for correcting workforce maldistribution.</w:t>
      </w:r>
    </w:p>
    <w:p>
      <w:pPr>
        <w:spacing w:line="480" w:lineRule="auto" w:after="120"/>
      </w:pPr>
      <w:r>
        <w:rPr>
          <w:rFonts w:ascii="Times New Roman" w:hAnsi="Times New Roman"/>
          <w:b w:val="0"/>
          <w:i w:val="0"/>
          <w:sz w:val="24"/>
        </w:rPr>
        <w:t>Behavioural economics suggests, however, that the link between perceived risk and actual behaviour is not automatic. Rare, salient adverse events are highly available in memory and in media coverage, and loss aversion causes a low-probability outcome to be overweighted in career deliberations. (Tversky and Kahneman, 1973; Kahneman and Tversky, 1979) At the same time, the decision to enter or leave a specialty is constrained by expected income, sunk training costs, switching costs and status-quo bias. (Samuelson and Zeckhauser, 1988) The relevant policy question is not whether physicians report anxiety about litigation, but whether that anxiety translates into aggregate workforce shifts. We treat the litigation-workforce question as a test case for evaluating a behavioural public policy instrument: can a salient, cognitively available risk be used to change the specialty distribution of physicians?</w:t>
      </w:r>
    </w:p>
    <w:p>
      <w:pPr>
        <w:spacing w:line="480" w:lineRule="auto" w:after="120"/>
      </w:pPr>
      <w:r>
        <w:rPr>
          <w:rFonts w:ascii="Times New Roman" w:hAnsi="Times New Roman"/>
          <w:b w:val="0"/>
          <w:i w:val="0"/>
          <w:sz w:val="24"/>
        </w:rPr>
        <w:t>Japan provides a well-documented national setting in which to examine this question. The Supreme Court reports closed malpractice claims by specialty, the Ministry of Health, Labour and Welfare publishes biennial physician counts and annual hospital facility counts, and the country shares the fee-for-service pressures seen in other high-income countries. (Supreme Court of Japan, 2024; Ministry of Health, Labour and Welfare, 2024a; Ministry of Health, Labour and Welfare, 2024b) It also introduced the Japan Obstetric Compensation System for Cerebral Palsy (JOCS-CP) in 2009, a no-fault scheme intended partly to address obstetric workforce concerns. (Japan Council for Quality Health Care (JOCS-CP), 2009; Hasegawa et al., 2016) Surveys of residents in Japan, Korea and Taiwan report litigation as a negative factor, but workload, lifestyle and professional interest dominate specialty choice. (Lin et al., 2022)</w:t>
      </w:r>
    </w:p>
    <w:p>
      <w:pPr>
        <w:spacing w:line="480" w:lineRule="auto" w:after="120"/>
      </w:pPr>
      <w:r>
        <w:rPr>
          <w:rFonts w:ascii="Times New Roman" w:hAnsi="Times New Roman"/>
          <w:b w:val="0"/>
          <w:i w:val="0"/>
          <w:sz w:val="24"/>
        </w:rPr>
        <w:t>Prior empirical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These pitfalls are not unique to malpractice research; they arise whenever administrative counts are used to infer behavioural responses in healthcare organisations. We address them with a transparent analytical framework that uses rates rather than counts, uses only measured biennial physician observations, and applies pre-specified equivalence testing, which can provide positive evidence for the absence of a meaningful effect rather than merely failing to reject a null. (Lakens, 2017; Schuirmann, 1987)</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 (von Elm et al., 2007) We studied 12 core clinical specialties in Japan for which the Supreme Court reports specialty-specific litigation. Three official primary series drove the main analysis: physician counts by specialty from the biennial Statistics of Physicians, Dentists and Pharmacists (Ministry of Health, Labour and Welfare, 2024a); closed malpractice claims by specialty from the Supreme Court of Japan (Supreme Court of Japan, 2024); and hospital counts by specialty from the annual Survey of Medical Institutions. (Ministry of Health, Labour and Welfare, 2024b) Hospital counts are the number of facilities reporting each specialty, not beds or staffing. Two sensitivity series were also used: annual medical accident investigation reports by specialty (2015-2024) from the Japan Medical Safety Research Organisation (Japan Medical Safety Research Organisation (JMSR), 2025) and total national newspaper article counts from Nikkei Telecom 21 (2004-2018; the sensitivity analysis uses 2009-2018; keywords: medical error + medical malpractice). (Nikkei Inc, 2024) The full extraction pipeline (with source identifiers and SHA-256 checksums) is documented in the accompanying repository (URL omitted for anonymised peer review).</w:t>
      </w:r>
    </w:p>
    <w:p>
      <w:pPr>
        <w:spacing w:line="480" w:lineRule="auto" w:after="120"/>
      </w:pPr>
      <w:r>
        <w:rPr>
          <w:rFonts w:ascii="Times New Roman" w:hAnsi="Times New Roman"/>
          <w:b w:val="0"/>
          <w:i w:val="0"/>
          <w:sz w:val="24"/>
        </w:rPr>
        <w:t>One source disagreement is documented in the extraction provenance. The 2017 internal medicine count is 179 in the consolidated Supreme Court releases (2022/2024/2025) and 181 in the contemporaneous 2017 committee minutes; we retained 179 in the primary series because it is the figure in the released statistics. (Supreme Court of Japan, 2024) The disagreement does not alter the rate-based exposure materially, but it is recorded for transparency.</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 (Supreme Court of Japan, 2024) We distinguish litigation from the Medical Accident Investigation System, which began in 2015 and covers only deaths and stillbirths judged unforeseen by the hospital administrator; it is not a general incident-reporting system and is not used as an exposure here. (Medical Accident Investigation System, 2015) Primary data sources and their resolution are summarised in Supplementary Table 1.</w:t>
      </w:r>
    </w:p>
    <w:p>
      <w:pPr>
        <w:spacing w:line="480" w:lineRule="auto" w:after="120"/>
      </w:pPr>
      <w:r>
        <w:rPr>
          <w:rFonts w:ascii="Times New Roman" w:hAnsi="Times New Roman"/>
          <w:b w:val="0"/>
          <w:i w:val="0"/>
          <w:sz w:val="24"/>
        </w:rPr>
        <w:t>The 12 specialties are not arbitrary selections but represent the core clinical categories in which Japanese physicians typically obtain initial board certification. Japan's specialist training programme is a two-tiered system: physicians first complete residency and gain certification in one of the core specialties (e.g., internal medicine, surgery, obstetrics and gynaecology, paediatrics, anaesthesiology), after which some proceed to a narrower subspecialty within that primary field. Biennial physician counts and Supreme Court litigation statistics are both reported at this primary-specialty level, so our analysis captures the broad workforce-allocation decision at the first tier of the training pipeline. Subspecialties are not separately tracked in the official biennial series, so we analyse the 12 primary fields as the relevant units of specialty choice and policy intervention.</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used a transparent sensitivity-analysis framework that varies the exposure definition (counts versus rates), panel frequency (measured biennial waves versus interpolated annual values), and potential confounders while holding the specialty-level panel structure constant. Supplementary Figure 1 summarises the framework.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 facility counts) and regressed it on the lagged litigation rate at the start of the interval, in a panel with specialty and wave fixed effects, clustered standard errors, and a JOCS-CP indicator for obstetrics and gynaecology from 2009 onward. (Angrist and Pischke, 2009) Clusters are defined by specialty, so G=12 and the small-cluster correction uses a t-distribution with G-1 degrees of freedom. (Cameron and Miller, 2015) The primary estimating equation, for specialty s and wave t, was as follows.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+γ·</m:t>
        </m:r>
        <m:sSub>
          <m:e>
            <m:r>
              <m:rPr>
                <m:nor/>
              </m:rPr>
              <m:t>JOCS-CP</m:t>
            </m:r>
          </m:e>
          <m:sub>
            <m:r>
              <m:t>s,t−1</m:t>
            </m:r>
          </m:sub>
        </m:sSub>
        <m:r>
          <m:t>+</m:t>
        </m:r>
        <m:sSub>
          <m:e>
            <m:r>
              <m:t>ϵ</m:t>
            </m:r>
          </m:e>
          <m:sub>
            <m:r>
              <m:t>st</m:t>
            </m:r>
          </m:sub>
        </m:sSub>
      </m:oMath>
    </w:p>
    <w:p>
      <w:pPr>
        <w:spacing w:line="480" w:lineRule="auto" w:after="120"/>
      </w:pPr>
      <w:r>
        <w:rPr>
          <w:rFonts w:ascii="Times New Roman" w:hAnsi="Times New Roman"/>
          <w:b w:val="0"/>
          <w:i w:val="0"/>
          <w:sz w:val="24"/>
        </w:rPr>
        <w:t>Here, Y is either physician counts or hospital facility counts, alpha_s are specialty fixed effects, delta_t are wave fixed effects, and standard errors are clustered by specialty. For the equivalence analysis we standardised litrate to a z-score, so beta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 with pre-specified margins of +/-1% and +/-2% biennial workforce change. The margins were chosen to be smaller than the policy-relevant workforce shifts that structural tools have produced: for example, targeted residency subsidies raised primary-care physician supply by about 4% in a comparable setting. (McNamara and Pineda-Torres, 2025) That 4% is a total programme effect, whereas our +/-1% and +/-2% margins are biennial, so the margins are substantially smaller than the policy-relevant shift and therefore conservative. The TOST procedure itself is standard for equivalence testing. (Lakens, 2017; Schuirmann, 1987) Equivalence is declared when the per-SD coefficient lies inside the margin. Inference was complemented by a cluster block-bootstrap (B = 1,999) and by the minimum detectable effect (MDE) at 80% power and the power to declare equivalence when the true effect is zero. Full formulas and the heterogeneity and time-trend sensitivity checks are given in Supplementary Note 1.</w:t>
      </w:r>
    </w:p>
    <w:p>
      <w:pPr>
        <w:pStyle w:val="Heading2"/>
      </w:pPr>
      <w:r>
        <w:rPr>
          <w:rFonts w:ascii="Times New Roman" w:hAnsi="Times New Roman"/>
          <w:color w:val="000000"/>
        </w:rPr>
        <w:t>Policy simulation</w:t>
      </w:r>
    </w:p>
    <w:p>
      <w:pPr>
        <w:spacing w:line="480" w:lineRule="auto" w:after="120"/>
      </w:pPr>
      <w:r>
        <w:rPr>
          <w:rFonts w:ascii="Times New Roman" w:hAnsi="Times New Roman"/>
          <w:b w:val="0"/>
          <w:i w:val="0"/>
          <w:sz w:val="24"/>
        </w:rPr>
        <w:t>To translate the regression results into a practical policy benchmark, we projected physician counts to 2034 under three stylised policy scenarios. The baseline used each specialty's observed mean biennial log-growth from 2004 to 2024. The two litigation-reduction scenarios set the litigation rate to zero and applied the point estimate and the 95% lower-bound coefficient, respectively, so they show both the central projection and the most favourable effect consistent with the data. The third scenario added the minimum detectable per-SD effect (1.08% per biennium) to baseline growth as a benchmark for the smallest policy effect this panel could detect with 80% power. The projections are deterministic counterfactuals, not forecasts, and are reported as the marginal percent change in 2034 relative to the baseline drift.</w:t>
      </w:r>
    </w:p>
    <w:p>
      <w:pPr>
        <w:spacing w:line="480" w:lineRule="auto" w:after="120"/>
      </w:pPr>
      <w:r>
        <w:rPr>
          <w:rFonts w:ascii="Times New Roman" w:hAnsi="Times New Roman"/>
          <w:b w:val="0"/>
          <w:i w:val="0"/>
          <w:sz w:val="24"/>
        </w:rPr>
        <w:t>All confidence intervals and two-sided p-values use the small-cluster correction with G-1 = 11 degrees of freedom. (Cameron and Miller, 2015) The JOCS-CP indicator captures the post-2009 obstetrics-and-gynaecology period. (JOCS-CP, 2009) Sensitivity analyses repeat the models on the annual hospital series, an interpolated annual-physician series, raw counts instead of rates, and annual hospital series controlling for the JMSR report rate (2016-2024) or total Nikkei Telecom article counts (2009-2018); details are in Supplementary Table 1. The JOCS-CP indicator and all sensitivity models are exploratory; we report raw and Holm step-down adjusted p-values. Code and data are available in the accompanying repository (URL omitted for anonymised peer review).</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2). Over the same period the physician workforce grew in 11 of 12 specialties (Supplementary Figure 3; Table 1); the only exception was general surgery, which was nearly flat (-2.3% across 16 years). Exposure and workforce did not move in opposite directions as a flight-from-risk account would predict.</w:t>
      </w:r>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facility-count growth (coefficient +0.0003; p=0.90). Equivalence testing (Figure 1; Table 2) showed that a 1-SD higher litigation rate changed biennial physician growth by less than +/-1% (TOST p=0.023; point estimate -0.21% with 90% CI -0.84% to +0.42%). For hospital facility-count growth the point estimate was +0.07% (90% CI -0.91% to +1.06%): it was within the +/-2% margin (p=0.002) but not the stricter +/-1% margin (p=0.059). Thus the data are consistent with the absence of a policy-relevant effect on physician growth, and with at most a small effect on hospital facility-count growth. Detailed TOST results by margin are reported in Supplementary Table 2.</w:t>
      </w:r>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holds across panel frequency and exposure definition. The JOCS-CP indicator was positive in sign in the obstetric-hospital model (coefficient +0.024, raw p=0.013), but it did not remain significant after the small-cluster correction and Holm adjustment for the exploratory sensitivity family (Holm p=0.250); we treat it as exploratory and do not interpret it as a causal policy effect.</w:t>
      </w:r>
    </w:p>
    <w:p>
      <w:pPr>
        <w:spacing w:line="480" w:lineRule="auto" w:after="120"/>
      </w:pPr>
      <w:r>
        <w:rPr>
          <w:rFonts w:ascii="Times New Roman" w:hAnsi="Times New Roman"/>
          <w:b w:val="0"/>
          <w:i w:val="0"/>
          <w:sz w:val="24"/>
        </w:rPr>
        <w:t>The same count-versus-rate contrast for biennial hospital facility-count growth is shown in Figure 3. As with physician growth, the count exposure creates a spurious size confound that disappears once the rate-adjusted exposure is used.</w:t>
      </w:r>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 (JMSR, 2025)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facility-count growth for 2016-2024 that included both the lagged litigation rate and the lagged JMSR report rate left the litigation coefficient little changed (+0.0021; p=0.28) and the JMSR term was not associated with hospital facility-count growth (p=0.66; Supplementary Table 3). The null litigation result is neither explained nor masked by broader medical-accident reporting.</w:t>
      </w:r>
    </w:p>
    <w:p>
      <w:pPr>
        <w:spacing w:line="480" w:lineRule="auto" w:after="120"/>
      </w:pPr>
      <w:r>
        <w:rPr>
          <w:rFonts w:ascii="Times New Roman" w:hAnsi="Times New Roman"/>
          <w:b w:val="0"/>
          <w:i w:val="0"/>
          <w:sz w:val="24"/>
        </w:rPr>
        <w:t>Finally, we tested national newspaper coverage from Nikkei Telecom 21 as a potential confounder. (Nikkei Inc, 2024)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facility-count growth for 2009-2018 that included both the lagged litigation rate and the lagged article count (per 1,000 articles) left the litigation coefficient little changed and the media term was not associated with hospital facility-count growth (p=0.21; Supplementary Table 4). Media coverage does not explain the null litigation effect either. Holm step-down adjusted p-values for the exploratory sensitivity family are reported in Supplementary Table 5.</w:t>
      </w:r>
    </w:p>
    <w:p>
      <w:pPr>
        <w:pStyle w:val="Heading2"/>
      </w:pPr>
      <w:r>
        <w:rPr>
          <w:rFonts w:ascii="Times New Roman" w:hAnsi="Times New Roman"/>
          <w:color w:val="000000"/>
        </w:rPr>
        <w:t>Small-cluster validation and power</w:t>
      </w:r>
    </w:p>
    <w:p>
      <w:pPr>
        <w:spacing w:line="480" w:lineRule="auto" w:after="120"/>
      </w:pPr>
      <w:r>
        <w:rPr>
          <w:rFonts w:ascii="Times New Roman" w:hAnsi="Times New Roman"/>
          <w:b w:val="0"/>
          <w:i w:val="0"/>
          <w:sz w:val="24"/>
        </w:rPr>
        <w:t>Because inference is based on only 12 specialty clusters, we checked the primary results with a cluster block-bootstrap (B = 1,999). For physician growth the bootstrap 95% CI for the lagged litigation-rate coefficient was -0.0048 to +0.0021 and the bootstrap p-value was 0.57; for hospital facility-count growth the bootstrap 95% CI was -0.0043 to +0.0042 and the bootstrap p-value was 0.90. Both intervals comfortably contain zero. Power diagnostics make the panel information explicit. For physician growth, the minimum detectable effect was 1.08% per SD at 80% power, and the power to declare equivalence within the +/-1% margin if the true effect were zero was 98.4%. For hospital facility-count growth the minimum detectable effect was 1.69% per SD and the equivalent power for the +/-1% margin was 90.4%. The panel is informative enough to rule out policy-relevant effects for physicians, and to bound any hospital effect within a small margin.</w:t>
      </w:r>
    </w:p>
    <w:p>
      <w:pPr>
        <w:spacing w:line="480" w:lineRule="auto" w:after="120"/>
      </w:pPr>
      <w:r>
        <w:rPr>
          <w:rFonts w:ascii="Times New Roman" w:hAnsi="Times New Roman"/>
          <w:b w:val="0"/>
          <w:i w:val="0"/>
          <w:sz w:val="24"/>
        </w:rPr>
        <w:t>Full bootstrap diagnostics and power calculations are reported in Supplementary Table 6.</w:t>
      </w:r>
    </w:p>
    <w:p>
      <w:pPr>
        <w:pStyle w:val="Heading2"/>
      </w:pPr>
      <w:r>
        <w:rPr>
          <w:rFonts w:ascii="Times New Roman" w:hAnsi="Times New Roman"/>
          <w:color w:val="000000"/>
        </w:rPr>
        <w:t>Counterfactual simulation</w:t>
      </w:r>
    </w:p>
    <w:p>
      <w:pPr>
        <w:spacing w:line="480" w:lineRule="auto" w:after="120"/>
      </w:pPr>
      <w:r>
        <w:rPr>
          <w:rFonts w:ascii="Times New Roman" w:hAnsi="Times New Roman"/>
          <w:b w:val="0"/>
          <w:i w:val="0"/>
          <w:sz w:val="24"/>
        </w:rPr>
        <w:t>The counterfactual projection made the practical implications of the null regression result explicit. Under the point estimate, eliminating all malpractice litigation would add only 1.1% to the projected 2034 national physician stock relative to baseline drift. Even under the 95% lower-bound (most favourable) coefficient it would add 5.2%, comparable to the 5.5% gain from a generic benchmark equal to the minimum detectable effect. General surgery, the only specialty with negative baseline drift, illustrates the break-even arithmetic: its projected 2024-2034 decline of -2.2% would be reduced to -0.1% under the point estimate and reversed to 7.7% under the 95% lower bound. The latter requires eliminating every remaining closed claim and assumes the most adverse (most negative) coefficient compatible with the data; a more realistic policy would achieve far less. Full projected 2034 physician counts by specialty and scenario are reported in Supplementary Table 7; Figure 4 summarises the same information as marginal percentage changes. Litigation reduction is not a high-impact instrument for workforce allocation in this setting.</w:t>
      </w:r>
    </w:p>
    <w:p>
      <w:pPr>
        <w:pStyle w:val="Heading2"/>
      </w:pPr>
      <w:r>
        <w:rPr>
          <w:rFonts w:ascii="Times New Roman" w:hAnsi="Times New Roman"/>
          <w:color w:val="000000"/>
        </w:rPr>
        <w:t>Training-system context</w:t>
      </w:r>
    </w:p>
    <w:p>
      <w:pPr>
        <w:spacing w:line="480" w:lineRule="auto" w:after="120"/>
      </w:pPr>
      <w:r>
        <w:rPr>
          <w:rFonts w:ascii="Times New Roman" w:hAnsi="Times New Roman"/>
          <w:b w:val="0"/>
          <w:i w:val="0"/>
          <w:sz w:val="24"/>
        </w:rPr>
        <w:t>As a reference for the size of the specialist-training pipeline, first-year specialist-trainee (senkoi) positions in 2018 covered 18.3% of physicians in the third to fifth year after medical registration in 2014 (weighted by specialty stock), with specialty-specific coverage ranging from 7.2% (paediatrics) to 81.7% (surgery). (Ministry of Health, Labour and Welfare, 2018; Ministry of Health, Labour and Welfare, 2015) These coverage rates are not an outcome of the litigation-risk model, but they confirm that the 12 primary specialties capture the main initial specialization decision in Japan; Supplementary Table 8 reports the counts by specialty.</w:t>
      </w:r>
    </w:p>
    <w:p>
      <w:pPr>
        <w:pStyle w:val="Heading2"/>
      </w:pPr>
      <w:r>
        <w:rPr>
          <w:rFonts w:ascii="Times New Roman" w:hAnsi="Times New Roman"/>
          <w:color w:val="000000"/>
        </w:rPr>
        <w:t>Heterogeneity and trend sensitivity</w:t>
      </w:r>
    </w:p>
    <w:p>
      <w:pPr>
        <w:spacing w:line="480" w:lineRule="auto" w:after="120"/>
      </w:pPr>
      <w:r>
        <w:rPr>
          <w:rFonts w:ascii="Times New Roman" w:hAnsi="Times New Roman"/>
          <w:b w:val="0"/>
          <w:i w:val="0"/>
          <w:sz w:val="24"/>
        </w:rPr>
        <w:t>We tested whether the null association concealed a differential response in high-litigation or surgical specialties, or whether it depended on assuming common wave fixed effects. In high-litigation specialties the main litigation coefficient for physician growth was +0.0098 (p=0.27) and the interaction was -0.0119 (p=0.24); for hospital facility-count growth the main coefficient was -0.0001 (p=0.99) and the interaction was +0.0004 (p=0.93). For the surgical-specialty interaction the physician main effect was -0.0045 (p=0.24) and the interaction was +0.0057 (p=0.39); for hospital facility-count growth the main effect was +0.0044 (p=0.12) and the interaction was -0.0066 (p=0.06). Allowing specialty-specific linear trends also left the litigation coefficient small and non-significant for physician growth (+0.0010; p=0.73) and hospital facility-count growth (+0.0027; p=0.11). None of the interactions or trend-stability checks suggest that a negative litigation effect is hiding in a clinically exposed subgroup (Supplementary Table 9).</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biennial physician observations, we found no association between specialty-level malpractice-litigation risk and subsequent physician or hospital decline. Equivalence testing showed that any effect of litigation risk on biennial physician growth is smaller than 1% (90% CI within the 1% margin), and any effect on hospital facility-count growth is smaller than 2% (but not confidently smaller than 1%). These data do not support the hypothesis that physicians systematically abandon high-litigation specialties over 16 years of official statistics.</w:t>
      </w:r>
    </w:p>
    <w:p>
      <w:pPr>
        <w:spacing w:line="480" w:lineRule="auto" w:after="120"/>
      </w:pPr>
      <w:r>
        <w:rPr>
          <w:rFonts w:ascii="Times New Roman" w:hAnsi="Times New Roman"/>
          <w:b w:val="0"/>
          <w:i w:val="0"/>
          <w:sz w:val="24"/>
        </w:rPr>
        <w:t>The null result is not merely a failure to detect an effect. The narrow confidence intervals, pre-specified equivalence margins, and power diagnostics allow us to say that, if litigation risk does influence specialty-level workforce growth, the magnitude is too small to matter for workforce planning. For behavioural public policy, this is an important distinction: a widely discussed risk can be highly available and emotionally salient without being a reliable policy tool. The public policy question is not whether physicians worry about litigation, but whether a policy that reduces litigation risk would materially change aggregate specialty supply. Our evidence suggests it would not.</w:t>
      </w:r>
    </w:p>
    <w:p>
      <w:pPr>
        <w:pStyle w:val="Heading2"/>
      </w:pPr>
      <w:r>
        <w:rPr>
          <w:rFonts w:ascii="Times New Roman" w:hAnsi="Times New Roman"/>
          <w:color w:val="000000"/>
        </w:rPr>
        <w:t>Behavioural mechanisms</w:t>
      </w:r>
    </w:p>
    <w:p>
      <w:pPr>
        <w:spacing w:line="480" w:lineRule="auto" w:after="120"/>
      </w:pPr>
      <w:r>
        <w:rPr>
          <w:rFonts w:ascii="Times New Roman" w:hAnsi="Times New Roman"/>
          <w:b w:val="0"/>
          <w:i w:val="0"/>
          <w:sz w:val="24"/>
        </w:rPr>
        <w:t>Several behavioural mechanisms are consistent with this finding. First, litigation risk may affect clinical behaviour on the intensive margin (defensive medicine) rather than the extensive margin (specialty exit). Kessler and McClellan showed that U.S. malpractice reforms reduced medical expenditures for elderly heart-disease patients without increasing mortality or complications, suggesting that defensive practice is one margin of adjustment to liability pressure. (Kessler and McClellan, 1996) Subsequent reassessments have debated the magnitude and consistency of this effect, but the conceptual point remains: physicians can respond to liability risk by changing how they practise rather than by exiting a specialty. (Sloan and Shadle, 2008) Fee-for-service reimbursement in Japan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Second, the discrepancy between perceived risk and measured workforce supply is consistent with well-documented behavioural-economics mechanisms. Media coverage of sensational malpractice or criminal prosecutions makes litigation risk highly available to physicians and trainees, and loss aversion can cause a rare but salient adverse outcome to be overweighted in career deliberations. (Tversky and Kahneman, 1973; Kahneman and Tversky, 1979) Yet the decision to leave a specialty is governed by expected income, sunk training costs, switching costs and status-quo bias, all of which discourage exit even when perceived risk is high. (Samuelson and Zeckhauser, 1988) The gap between reported anxiety and measured supply is not a contradiction; it is exactly what one would expect when a vivid, low-probability risk meets strong economic and institutional incentives to remain.</w:t>
      </w:r>
    </w:p>
    <w:p>
      <w:pPr>
        <w:spacing w:line="480" w:lineRule="auto" w:after="120"/>
      </w:pPr>
      <w:r>
        <w:rPr>
          <w:rFonts w:ascii="Times New Roman" w:hAnsi="Times New Roman"/>
          <w:b w:val="0"/>
          <w:i w:val="0"/>
          <w:sz w:val="24"/>
        </w:rPr>
        <w:t>For behavioural public policy, the lesson is that changing the perceived risk alone is unlikely to alter aggregate workforce allocation when the underlying choice architecture preserves strong structural incentives to remain. Status-quo bias and loss aversion now work in the opposite direction: once a physician has incurred the sunk cost of specialty training, leaving feels like a sure loss, while the rare possibility of a malpractice judgment remains an abstract, low-probability event. No-fault compensation, payment design, and training subsidies change the payoff structure directly; litigation-avoidance messaging targets only the perceived risk. Our results suggest that the former are the more reliable tools.</w:t>
      </w:r>
    </w:p>
    <w:p>
      <w:pPr>
        <w:pStyle w:val="Heading2"/>
      </w:pPr>
      <w:r>
        <w:rPr>
          <w:rFonts w:ascii="Times New Roman" w:hAnsi="Times New Roman"/>
          <w:color w:val="000000"/>
        </w:rPr>
        <w:t>Institutional context and international evidence</w:t>
      </w:r>
    </w:p>
    <w:p>
      <w:pPr>
        <w:spacing w:line="480" w:lineRule="auto" w:after="120"/>
      </w:pPr>
      <w:r>
        <w:rPr>
          <w:rFonts w:ascii="Times New Roman" w:hAnsi="Times New Roman"/>
          <w:b w:val="0"/>
          <w:i w:val="0"/>
          <w:sz w:val="24"/>
        </w:rPr>
        <w:t>The civil litigation environment in Japan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 (Taniguchi, Watari and Nagoshi, 2023) The Court data we use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No-fault obstetric compensation (JOCS-CP, 2009) illustrates a different mechanism. It was introduced partly because of a shortage of young obstetricians and regional gaps in maternity care, and it combined no-fault compensation with investigation and prevention. (Hasegawa et al., 2016) The hospital-level JOCS-CP indicator was directionally positive (coefficient +0.024, raw p=0.013), but it did not remain significant after the small-cluster correction and Holm adjustment for the exploratory sensitivity family (Holm p=0.250).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 (Morita, 2018)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Japan-U.S. comparison of medical-legal claims in obstetrics and gynaecology found that the proportion of malpractice claims in this specialty fell from 15.1 percent in 2004 to 5.2 percent in 2022, and that claims per 100 OB/GYN physicians fell from 0.9 in 2007 to 0.4 in 2016, while maternal and neonatal mortality also declined. (Kamijo et al., 2025)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 (Lin et al., 2022)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International evidence on tort reform and physician supply is consistent with a small or context-specific effect, especially in systems with low litigation volume and predictable damages. (Helland and Seabury, 2015; Matsa, 2007; Hyman et al., 2015; Frakes, Frank and Seabury, 2020) Against this backdrop, a null effect of civil litigation risk on Japanese specialty supply is not surprising.</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Reducing civil malpractice litigation is unlikely to be a powerful tool for correcting specialty maldistribution. The 10-year counterfactual showed that eliminating all claims would add only 1.1% to the projected national physician stock under the point estimate, and 5.2% under the most favourable 95% lower-bound coefficient. A generic benchmark equal to the minimum detectable effect would add 5.5%. Effects of this size are too small to rebalance a workforce whose distribution is shaped by training costs, reimbursement and seniority.</w:t>
      </w:r>
    </w:p>
    <w:p>
      <w:pPr>
        <w:spacing w:line="480" w:lineRule="auto" w:after="120"/>
      </w:pPr>
      <w:r>
        <w:rPr>
          <w:rFonts w:ascii="Times New Roman" w:hAnsi="Times New Roman"/>
          <w:b w:val="0"/>
          <w:i w:val="0"/>
          <w:sz w:val="24"/>
        </w:rPr>
        <w:t>The weak response reflects the institutional structure of career choice, not a lack of concern. Once a physician has entered a specialty, the costs of switching -- foregone fellowship income, lost seniority and professional identity -- generate powerful status-quo bias, while fee-for-service income rewards the high-acuity work that also carries litigation risk. No-fault compensation, payment design and training subsidies alter the payoffs and defaults that matter for a loss-averse trainee; they are more reliable tools than risk communication. (Samuelson and Zeckhauser, 1988; Kahneman and Tversky, 1979) New Zealand and the Nordic administrative-compensation systems show how separating compensation from blame can protect patients and providers without relying on litigation, and Japan's JOCS-CP moves in the same direction for obstetric cerebral palsy. (Bismark and Paterson, 2006; Mello, Kachalia and Studdert, 2011; Hasegawa et al., 2016)</w:t>
      </w:r>
    </w:p>
    <w:p>
      <w:pPr>
        <w:spacing w:line="480" w:lineRule="auto" w:after="120"/>
      </w:pPr>
      <w:r>
        <w:rPr>
          <w:rFonts w:ascii="Times New Roman" w:hAnsi="Times New Roman"/>
          <w:b w:val="0"/>
          <w:i w:val="0"/>
          <w:sz w:val="24"/>
        </w:rPr>
        <w:t>Information campaigns that publicise the rarity of claims are therefore unlikely to alter aggregate supply. The availability heuristic means that vivid cases dominate decision weights regardless of their frequency, so a national trend line does not remove salient exemplars from memory or media coverage. (Tversky and Kahneman, 1973; Kahneman and Tversky, 1979; Lin et al., 2022) The behavioural lesson is that policymakers should redesign the choice architecture -- payment, training slots and compensation rules -- rather than expect litigation-avoidance messaging to drive career decisions. Our null result is evidence that structural defaults and loss aversion outweigh rare-event risk perception in the aggregate workforce.</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establish individual-level causality. We do not directly observe individual physicians' subjective risk perceptions, so the behavioural interpretation of the null result in terms of availability, loss aversion and status-quo bias is theoretically informed rather than directly tested. The 12 specialties correspond to the primary-specialty tier of Japan's two-tiered specialist training programme; the analysis describes workforce allocation at the initial board-certification stage and may not extend to narrower subspecialties that are not separately tracked in the biennial census. The physician census is biennial, giving 9 measured waves; we addressed the limited power directly through equivalence testing and by pooling across specialties, but residual power constraints remain and the equivalence margins are a judgement. Litigation rates may be endogenous to physician supply if a smaller workforce increases workload and hence incidents; the lagged exposure, fixed effects, and reverse specification make reverse causation unlikely, yet unobserved confounders at the specialty or prefecture level cannot be fully ruled out. Cluster block-bootstrap and power diagnostics are reported in Supplementary Table 6. Because clusters are defined by the 12 specialties, the small-cluster correction uses G-1=11 degrees of freedom; this is the minimum at which cluster-level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 (Supreme Court of Japan, 2024) Finally, these findings are embedded in the country's particular legal, cultural and institutional context -- including its no-fault obstetric compensation scheme, its fee-for-service reimbursement structure and its comparatively low-volume malpractice-litigation culture -- 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was not associated with physician or hospital decline in these national data, and the physician effect was statistically equivalent to null within a small margin. From a behavioural public policy perspective, malpractice litigation is not a reliable tool for correcting specialty maldistribution in this setting. Policymakers may more productively target structural incentives, especially no-fault compensation and payment design, rather than rely on the assumption that reducing litigation will retain physicians in high-risk specialties. The transparent, reproducible sensitivity-analysis framework used here is exportable to other healthcare workforce-policy tools. More generally, the results caution against treating highly salient risks as reliable policy tools when the underlying choice architecture preserves strong structural incentives. Behavioural public policy is most effective when it redesigns the decision context rather than attempting to counteract it through information alone.</w:t>
      </w:r>
    </w:p>
    <w:p>
      <w:pPr>
        <w:pStyle w:val="Heading1"/>
      </w:pPr>
      <w:r>
        <w:rPr>
          <w:rFonts w:ascii="Times New Roman" w:hAnsi="Times New Roman"/>
          <w:color w:val="000000"/>
        </w:rPr>
        <w:t>References</w:t>
      </w:r>
    </w:p>
    <w:p>
      <w:pPr>
        <w:spacing w:line="360" w:lineRule="auto"/>
      </w:pPr>
      <w:r>
        <w:rPr>
          <w:rFonts w:ascii="Times New Roman" w:hAnsi="Times New Roman"/>
          <w:b w:val="0"/>
          <w:i w:val="0"/>
          <w:sz w:val="20"/>
        </w:rPr>
        <w:t xml:space="preserve">Angrist, J.D. and Pischke, J.S. (2009), </w:t>
      </w:r>
      <w:r>
        <w:rPr>
          <w:rFonts w:ascii="Times New Roman" w:hAnsi="Times New Roman"/>
          <w:b w:val="0"/>
          <w:i/>
          <w:sz w:val="20"/>
        </w:rPr>
        <w:t>Mostly Harmless Econometrics: An Empiricist's Companion</w:t>
      </w:r>
      <w:r>
        <w:rPr>
          <w:rFonts w:ascii="Times New Roman" w:hAnsi="Times New Roman"/>
          <w:b w:val="0"/>
          <w:i w:val="0"/>
          <w:sz w:val="20"/>
        </w:rPr>
        <w:t>. Princeton: Princeton University Press.</w:t>
      </w:r>
    </w:p>
    <w:p>
      <w:pPr>
        <w:spacing w:line="360" w:lineRule="auto"/>
      </w:pPr>
      <w:r>
        <w:rPr>
          <w:rFonts w:ascii="Times New Roman" w:hAnsi="Times New Roman"/>
          <w:b w:val="0"/>
          <w:i w:val="0"/>
          <w:sz w:val="20"/>
        </w:rPr>
        <w:t>Bismark, M. and Paterson, R. (2006), '</w:t>
      </w:r>
      <w:r>
        <w:rPr>
          <w:rFonts w:ascii="Times New Roman" w:hAnsi="Times New Roman"/>
          <w:b w:val="0"/>
          <w:i w:val="0"/>
          <w:sz w:val="20"/>
        </w:rPr>
        <w:t>No-fault compensation in New Zealand: harmonizing injury compensation, provider accountability, and patient safety</w:t>
      </w:r>
      <w:r>
        <w:rPr>
          <w:rFonts w:ascii="Times New Roman" w:hAnsi="Times New Roman"/>
          <w:b w:val="0"/>
          <w:i w:val="0"/>
          <w:sz w:val="20"/>
        </w:rPr>
        <w:t xml:space="preserve">', </w:t>
      </w:r>
      <w:r>
        <w:rPr>
          <w:rFonts w:ascii="Times New Roman" w:hAnsi="Times New Roman"/>
          <w:b w:val="0"/>
          <w:i/>
          <w:sz w:val="20"/>
        </w:rPr>
        <w:t>Health Aff</w:t>
      </w:r>
      <w:r>
        <w:rPr>
          <w:rFonts w:ascii="Times New Roman" w:hAnsi="Times New Roman"/>
          <w:b w:val="0"/>
          <w:i w:val="0"/>
          <w:sz w:val="20"/>
        </w:rPr>
        <w:t>. 25(1): 278-286.</w:t>
      </w:r>
    </w:p>
    <w:p>
      <w:pPr>
        <w:spacing w:line="360" w:lineRule="auto"/>
      </w:pPr>
      <w:r>
        <w:rPr>
          <w:rFonts w:ascii="Times New Roman" w:hAnsi="Times New Roman"/>
          <w:b w:val="0"/>
          <w:i w:val="0"/>
          <w:sz w:val="20"/>
        </w:rPr>
        <w:t>Cameron, A.C. and Miller, D.L. (2015), '</w:t>
      </w:r>
      <w:r>
        <w:rPr>
          <w:rFonts w:ascii="Times New Roman" w:hAnsi="Times New Roman"/>
          <w:b w:val="0"/>
          <w:i w:val="0"/>
          <w:sz w:val="20"/>
        </w:rPr>
        <w:t>A practitioner's guide to cluster-robust inference</w:t>
      </w:r>
      <w:r>
        <w:rPr>
          <w:rFonts w:ascii="Times New Roman" w:hAnsi="Times New Roman"/>
          <w:b w:val="0"/>
          <w:i w:val="0"/>
          <w:sz w:val="20"/>
        </w:rPr>
        <w:t xml:space="preserve">', </w:t>
      </w:r>
      <w:r>
        <w:rPr>
          <w:rFonts w:ascii="Times New Roman" w:hAnsi="Times New Roman"/>
          <w:b w:val="0"/>
          <w:i/>
          <w:sz w:val="20"/>
        </w:rPr>
        <w:t>J Hum Resour</w:t>
      </w:r>
      <w:r>
        <w:rPr>
          <w:rFonts w:ascii="Times New Roman" w:hAnsi="Times New Roman"/>
          <w:b w:val="0"/>
          <w:i w:val="0"/>
          <w:sz w:val="20"/>
        </w:rPr>
        <w:t>. 50(2): 317-372.</w:t>
      </w:r>
    </w:p>
    <w:p>
      <w:pPr>
        <w:spacing w:line="360" w:lineRule="auto"/>
      </w:pPr>
      <w:r>
        <w:rPr>
          <w:rFonts w:ascii="Times New Roman" w:hAnsi="Times New Roman"/>
          <w:b w:val="0"/>
          <w:i w:val="0"/>
          <w:sz w:val="20"/>
        </w:rPr>
        <w:t>Frakes, M.D., Frank, M.B. and Seabury, S.A. (2020), '</w:t>
      </w:r>
      <w:r>
        <w:rPr>
          <w:rFonts w:ascii="Times New Roman" w:hAnsi="Times New Roman"/>
          <w:b w:val="0"/>
          <w:i w:val="0"/>
          <w:sz w:val="20"/>
        </w:rPr>
        <w:t>The effect of malpractice law on physician supply: Evidence from negligence-standard reforms</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70: 1-16.</w:t>
      </w:r>
    </w:p>
    <w:p>
      <w:pPr>
        <w:spacing w:line="360" w:lineRule="auto"/>
      </w:pPr>
      <w:r>
        <w:rPr>
          <w:rFonts w:ascii="Times New Roman" w:hAnsi="Times New Roman"/>
          <w:b w:val="0"/>
          <w:i w:val="0"/>
          <w:sz w:val="20"/>
        </w:rPr>
        <w:t>Hasegawa, J., Toyokawa, S., Ikenoue, T., et al. (2016), '</w:t>
      </w:r>
      <w:r>
        <w:rPr>
          <w:rFonts w:ascii="Times New Roman" w:hAnsi="Times New Roman"/>
          <w:b w:val="0"/>
          <w:i w:val="0"/>
          <w:sz w:val="20"/>
        </w:rPr>
        <w:t>Relevant obstetric factors for cerebral palsy: from the Nationwide Obstetric Compensation System in Japan</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11(1): e0148122.</w:t>
      </w:r>
    </w:p>
    <w:p>
      <w:pPr>
        <w:spacing w:line="360" w:lineRule="auto"/>
      </w:pPr>
      <w:r>
        <w:rPr>
          <w:rFonts w:ascii="Times New Roman" w:hAnsi="Times New Roman"/>
          <w:b w:val="0"/>
          <w:i w:val="0"/>
          <w:sz w:val="20"/>
        </w:rPr>
        <w:t>Helland, E. and Seabury, S.A. (2015), '</w:t>
      </w:r>
      <w:r>
        <w:rPr>
          <w:rFonts w:ascii="Times New Roman" w:hAnsi="Times New Roman"/>
          <w:b w:val="0"/>
          <w:i w:val="0"/>
          <w:sz w:val="20"/>
        </w:rPr>
        <w:t>Tort reform and physician labor supply: a review of the evidence</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192-202.</w:t>
      </w:r>
    </w:p>
    <w:p>
      <w:pPr>
        <w:spacing w:line="360" w:lineRule="auto"/>
      </w:pPr>
      <w:r>
        <w:rPr>
          <w:rFonts w:ascii="Times New Roman" w:hAnsi="Times New Roman"/>
          <w:b w:val="0"/>
          <w:i w:val="0"/>
          <w:sz w:val="20"/>
        </w:rPr>
        <w:t>Hiyama, T., Yoshihara, M., Tanaka, S., et al. (2006), '</w:t>
      </w:r>
      <w:r>
        <w:rPr>
          <w:rFonts w:ascii="Times New Roman" w:hAnsi="Times New Roman"/>
          <w:b w:val="0"/>
          <w:i w:val="0"/>
          <w:sz w:val="20"/>
        </w:rPr>
        <w:t>Defensive medicine practices among gastroenterologists in Japan</w:t>
      </w:r>
      <w:r>
        <w:rPr>
          <w:rFonts w:ascii="Times New Roman" w:hAnsi="Times New Roman"/>
          <w:b w:val="0"/>
          <w:i w:val="0"/>
          <w:sz w:val="20"/>
        </w:rPr>
        <w:t xml:space="preserve">', </w:t>
      </w:r>
      <w:r>
        <w:rPr>
          <w:rFonts w:ascii="Times New Roman" w:hAnsi="Times New Roman"/>
          <w:b w:val="0"/>
          <w:i/>
          <w:sz w:val="20"/>
        </w:rPr>
        <w:t>World J Gastroenterol</w:t>
      </w:r>
      <w:r>
        <w:rPr>
          <w:rFonts w:ascii="Times New Roman" w:hAnsi="Times New Roman"/>
          <w:b w:val="0"/>
          <w:i w:val="0"/>
          <w:sz w:val="20"/>
        </w:rPr>
        <w:t>. 12(47): 7671-7675. doi:10.3748/wjg.v12.i47.7671</w:t>
      </w:r>
    </w:p>
    <w:p>
      <w:pPr>
        <w:spacing w:line="360" w:lineRule="auto"/>
      </w:pPr>
      <w:r>
        <w:rPr>
          <w:rFonts w:ascii="Times New Roman" w:hAnsi="Times New Roman"/>
          <w:b w:val="0"/>
          <w:i w:val="0"/>
          <w:sz w:val="20"/>
        </w:rPr>
        <w:t>Hyman, D.A., Silver, C., Black, B. and Paik, M. (2015), '</w:t>
      </w:r>
      <w:r>
        <w:rPr>
          <w:rFonts w:ascii="Times New Roman" w:hAnsi="Times New Roman"/>
          <w:b w:val="0"/>
          <w:i w:val="0"/>
          <w:sz w:val="20"/>
        </w:rPr>
        <w:t>Does tort reform affect physician supply? Evidence from Texas</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203-218.</w:t>
      </w:r>
    </w:p>
    <w:p>
      <w:pPr>
        <w:spacing w:line="360" w:lineRule="auto"/>
      </w:pPr>
      <w:r>
        <w:rPr>
          <w:rFonts w:ascii="Times New Roman" w:hAnsi="Times New Roman"/>
          <w:b w:val="0"/>
          <w:i w:val="0"/>
          <w:sz w:val="20"/>
        </w:rPr>
        <w:t xml:space="preserve">Japan Council for Quality Health Care (JOCS-CP) (2009), </w:t>
      </w:r>
      <w:r>
        <w:rPr>
          <w:rFonts w:ascii="Times New Roman" w:hAnsi="Times New Roman"/>
          <w:b w:val="0"/>
          <w:i/>
          <w:sz w:val="20"/>
        </w:rPr>
        <w:t>Japan Obstetric Compensation System for Cerebral Palsy</w:t>
      </w:r>
      <w:r>
        <w:rPr>
          <w:rFonts w:ascii="Times New Roman" w:hAnsi="Times New Roman"/>
          <w:b w:val="0"/>
          <w:i w:val="0"/>
          <w:sz w:val="20"/>
        </w:rPr>
        <w:t>. Tokyo: Japan Council for Quality Health Care.</w:t>
      </w:r>
    </w:p>
    <w:p>
      <w:pPr>
        <w:spacing w:line="360" w:lineRule="auto"/>
      </w:pPr>
      <w:r>
        <w:rPr>
          <w:rFonts w:ascii="Times New Roman" w:hAnsi="Times New Roman"/>
          <w:b w:val="0"/>
          <w:i w:val="0"/>
          <w:sz w:val="20"/>
        </w:rPr>
        <w:t xml:space="preserve">Japan Medical Safety Research Organisation (JMSR) (2025), </w:t>
      </w:r>
      <w:r>
        <w:rPr>
          <w:rFonts w:ascii="Times New Roman" w:hAnsi="Times New Roman"/>
          <w:b w:val="0"/>
          <w:i/>
          <w:sz w:val="20"/>
        </w:rPr>
        <w:t>Annual reports of medical accident investigations (2015-2024)</w:t>
      </w:r>
      <w:r>
        <w:rPr>
          <w:rFonts w:ascii="Times New Roman" w:hAnsi="Times New Roman"/>
          <w:b w:val="0"/>
          <w:i w:val="0"/>
          <w:sz w:val="20"/>
        </w:rPr>
        <w:t>. Tokyo: JMSR.</w:t>
      </w:r>
    </w:p>
    <w:p>
      <w:pPr>
        <w:spacing w:line="360" w:lineRule="auto"/>
      </w:pPr>
      <w:r>
        <w:rPr>
          <w:rFonts w:ascii="Times New Roman" w:hAnsi="Times New Roman"/>
          <w:b w:val="0"/>
          <w:i w:val="0"/>
          <w:sz w:val="20"/>
        </w:rPr>
        <w:t>Kahneman, D. and Tversky, A. (1979), '</w:t>
      </w:r>
      <w:r>
        <w:rPr>
          <w:rFonts w:ascii="Times New Roman" w:hAnsi="Times New Roman"/>
          <w:b w:val="0"/>
          <w:i w:val="0"/>
          <w:sz w:val="20"/>
        </w:rPr>
        <w:t>Prospect theory: an analysis of decision under risk</w:t>
      </w:r>
      <w:r>
        <w:rPr>
          <w:rFonts w:ascii="Times New Roman" w:hAnsi="Times New Roman"/>
          <w:b w:val="0"/>
          <w:i w:val="0"/>
          <w:sz w:val="20"/>
        </w:rPr>
        <w:t xml:space="preserve">', </w:t>
      </w:r>
      <w:r>
        <w:rPr>
          <w:rFonts w:ascii="Times New Roman" w:hAnsi="Times New Roman"/>
          <w:b w:val="0"/>
          <w:i/>
          <w:sz w:val="20"/>
        </w:rPr>
        <w:t>Econometrica</w:t>
      </w:r>
      <w:r>
        <w:rPr>
          <w:rFonts w:ascii="Times New Roman" w:hAnsi="Times New Roman"/>
          <w:b w:val="0"/>
          <w:i w:val="0"/>
          <w:sz w:val="20"/>
        </w:rPr>
        <w:t>. 47(2): 263-291.</w:t>
      </w:r>
    </w:p>
    <w:p>
      <w:pPr>
        <w:spacing w:line="360" w:lineRule="auto"/>
      </w:pPr>
      <w:r>
        <w:rPr>
          <w:rFonts w:ascii="Times New Roman" w:hAnsi="Times New Roman"/>
          <w:b w:val="0"/>
          <w:i w:val="0"/>
          <w:sz w:val="20"/>
        </w:rPr>
        <w:t>Kamijo, K., Wada, Y., Ishida, K., Warsof, S.L., Saade, G. and Kawakita, T. (2025), '</w:t>
      </w:r>
      <w:r>
        <w:rPr>
          <w:rFonts w:ascii="Times New Roman" w:hAnsi="Times New Roman"/>
          <w:b w:val="0"/>
          <w:i w:val="0"/>
          <w:sz w:val="20"/>
        </w:rPr>
        <w:t>Medical-legal claims in obstetrics and gynecology: Japan versus the United States</w:t>
      </w:r>
      <w:r>
        <w:rPr>
          <w:rFonts w:ascii="Times New Roman" w:hAnsi="Times New Roman"/>
          <w:b w:val="0"/>
          <w:i w:val="0"/>
          <w:sz w:val="20"/>
        </w:rPr>
        <w:t xml:space="preserve">', </w:t>
      </w:r>
      <w:r>
        <w:rPr>
          <w:rFonts w:ascii="Times New Roman" w:hAnsi="Times New Roman"/>
          <w:b w:val="0"/>
          <w:i/>
          <w:sz w:val="20"/>
        </w:rPr>
        <w:t>J Healthc Risk Manag</w:t>
      </w:r>
      <w:r>
        <w:rPr>
          <w:rFonts w:ascii="Times New Roman" w:hAnsi="Times New Roman"/>
          <w:b w:val="0"/>
          <w:i w:val="0"/>
          <w:sz w:val="20"/>
        </w:rPr>
        <w:t>. 44(4): 5-11. doi:10.1002/jhrm.70001</w:t>
      </w:r>
    </w:p>
    <w:p>
      <w:pPr>
        <w:spacing w:line="360" w:lineRule="auto"/>
      </w:pPr>
      <w:r>
        <w:rPr>
          <w:rFonts w:ascii="Times New Roman" w:hAnsi="Times New Roman"/>
          <w:b w:val="0"/>
          <w:i w:val="0"/>
          <w:sz w:val="20"/>
        </w:rPr>
        <w:t>Kessler, D.P. and McClellan, M.B. (1996), '</w:t>
      </w:r>
      <w:r>
        <w:rPr>
          <w:rFonts w:ascii="Times New Roman" w:hAnsi="Times New Roman"/>
          <w:b w:val="0"/>
          <w:i w:val="0"/>
          <w:sz w:val="20"/>
        </w:rPr>
        <w:t>Do doctors practice defensive medicine?</w:t>
      </w:r>
      <w:r>
        <w:rPr>
          <w:rFonts w:ascii="Times New Roman" w:hAnsi="Times New Roman"/>
          <w:b w:val="0"/>
          <w:i w:val="0"/>
          <w:sz w:val="20"/>
        </w:rPr>
        <w:t xml:space="preserve">', </w:t>
      </w:r>
      <w:r>
        <w:rPr>
          <w:rFonts w:ascii="Times New Roman" w:hAnsi="Times New Roman"/>
          <w:b w:val="0"/>
          <w:i/>
          <w:sz w:val="20"/>
        </w:rPr>
        <w:t>Q J Econ</w:t>
      </w:r>
      <w:r>
        <w:rPr>
          <w:rFonts w:ascii="Times New Roman" w:hAnsi="Times New Roman"/>
          <w:b w:val="0"/>
          <w:i w:val="0"/>
          <w:sz w:val="20"/>
        </w:rPr>
        <w:t>. 111(2): 353-390.</w:t>
      </w:r>
    </w:p>
    <w:p>
      <w:pPr>
        <w:spacing w:line="360" w:lineRule="auto"/>
      </w:pPr>
      <w:r>
        <w:rPr>
          <w:rFonts w:ascii="Times New Roman" w:hAnsi="Times New Roman"/>
          <w:b w:val="0"/>
          <w:i w:val="0"/>
          <w:sz w:val="20"/>
        </w:rPr>
        <w:t>Lakens, D. (2017), '</w:t>
      </w:r>
      <w:r>
        <w:rPr>
          <w:rFonts w:ascii="Times New Roman" w:hAnsi="Times New Roman"/>
          <w:b w:val="0"/>
          <w:i w:val="0"/>
          <w:sz w:val="20"/>
        </w:rPr>
        <w:t>Equivalence tests: a practical primer for t tests, correlations, and meta-analyses</w:t>
      </w:r>
      <w:r>
        <w:rPr>
          <w:rFonts w:ascii="Times New Roman" w:hAnsi="Times New Roman"/>
          <w:b w:val="0"/>
          <w:i w:val="0"/>
          <w:sz w:val="20"/>
        </w:rPr>
        <w:t xml:space="preserve">', </w:t>
      </w:r>
      <w:r>
        <w:rPr>
          <w:rFonts w:ascii="Times New Roman" w:hAnsi="Times New Roman"/>
          <w:b w:val="0"/>
          <w:i/>
          <w:sz w:val="20"/>
        </w:rPr>
        <w:t>Soc Psychol Personal Sci</w:t>
      </w:r>
      <w:r>
        <w:rPr>
          <w:rFonts w:ascii="Times New Roman" w:hAnsi="Times New Roman"/>
          <w:b w:val="0"/>
          <w:i w:val="0"/>
          <w:sz w:val="20"/>
        </w:rPr>
        <w:t>. 8(4): 355-362.</w:t>
      </w:r>
    </w:p>
    <w:p>
      <w:pPr>
        <w:spacing w:line="360" w:lineRule="auto"/>
      </w:pPr>
      <w:r>
        <w:rPr>
          <w:rFonts w:ascii="Times New Roman" w:hAnsi="Times New Roman"/>
          <w:b w:val="0"/>
          <w:i w:val="0"/>
          <w:sz w:val="20"/>
        </w:rPr>
        <w:t>Lin, P.L., Huang, J.P., Fujii, T., Cho, E.H. and Huang, M.C. (2022), '</w:t>
      </w:r>
      <w:r>
        <w:rPr>
          <w:rFonts w:ascii="Times New Roman" w:hAnsi="Times New Roman"/>
          <w:b w:val="0"/>
          <w:i w:val="0"/>
          <w:sz w:val="20"/>
        </w:rPr>
        <w:t>A survey of specialty choice among obstetrics and gynecology residents in Japan, Korea, and Taiwan</w:t>
      </w:r>
      <w:r>
        <w:rPr>
          <w:rFonts w:ascii="Times New Roman" w:hAnsi="Times New Roman"/>
          <w:b w:val="0"/>
          <w:i w:val="0"/>
          <w:sz w:val="20"/>
        </w:rPr>
        <w:t xml:space="preserve">', </w:t>
      </w:r>
      <w:r>
        <w:rPr>
          <w:rFonts w:ascii="Times New Roman" w:hAnsi="Times New Roman"/>
          <w:b w:val="0"/>
          <w:i/>
          <w:sz w:val="20"/>
        </w:rPr>
        <w:t>J Obstet Gynaecol Res</w:t>
      </w:r>
      <w:r>
        <w:rPr>
          <w:rFonts w:ascii="Times New Roman" w:hAnsi="Times New Roman"/>
          <w:b w:val="0"/>
          <w:i w:val="0"/>
          <w:sz w:val="20"/>
        </w:rPr>
        <w:t>. 48(7): 1968-1977.</w:t>
      </w:r>
    </w:p>
    <w:p>
      <w:pPr>
        <w:spacing w:line="360" w:lineRule="auto"/>
      </w:pPr>
      <w:r>
        <w:rPr>
          <w:rFonts w:ascii="Times New Roman" w:hAnsi="Times New Roman"/>
          <w:b w:val="0"/>
          <w:i w:val="0"/>
          <w:sz w:val="20"/>
        </w:rPr>
        <w:t>Matsa, D.A. (2007), '</w:t>
      </w:r>
      <w:r>
        <w:rPr>
          <w:rFonts w:ascii="Times New Roman" w:hAnsi="Times New Roman"/>
          <w:b w:val="0"/>
          <w:i w:val="0"/>
          <w:sz w:val="20"/>
        </w:rPr>
        <w:t>Does malpractice liability keep the doctor away? Evidence from tort reform damage caps</w:t>
      </w:r>
      <w:r>
        <w:rPr>
          <w:rFonts w:ascii="Times New Roman" w:hAnsi="Times New Roman"/>
          <w:b w:val="0"/>
          <w:i w:val="0"/>
          <w:sz w:val="20"/>
        </w:rPr>
        <w:t xml:space="preserve">', </w:t>
      </w:r>
      <w:r>
        <w:rPr>
          <w:rFonts w:ascii="Times New Roman" w:hAnsi="Times New Roman"/>
          <w:b w:val="0"/>
          <w:i/>
          <w:sz w:val="20"/>
        </w:rPr>
        <w:t>J Legal Stud</w:t>
      </w:r>
      <w:r>
        <w:rPr>
          <w:rFonts w:ascii="Times New Roman" w:hAnsi="Times New Roman"/>
          <w:b w:val="0"/>
          <w:i w:val="0"/>
          <w:sz w:val="20"/>
        </w:rPr>
        <w:t>. 36(S2): S143-S182.</w:t>
      </w:r>
    </w:p>
    <w:p>
      <w:pPr>
        <w:spacing w:line="360" w:lineRule="auto"/>
      </w:pPr>
      <w:r>
        <w:rPr>
          <w:rFonts w:ascii="Times New Roman" w:hAnsi="Times New Roman"/>
          <w:b w:val="0"/>
          <w:i w:val="0"/>
          <w:sz w:val="20"/>
        </w:rPr>
        <w:t>Matsumoto, M., Inoue, K., Bowman, R. and Kajii, E. (2010), '</w:t>
      </w:r>
      <w:r>
        <w:rPr>
          <w:rFonts w:ascii="Times New Roman" w:hAnsi="Times New Roman"/>
          <w:b w:val="0"/>
          <w:i w:val="0"/>
          <w:sz w:val="20"/>
        </w:rPr>
        <w:t>Self-employment, specialty choice, and geographical distribution of physicians in Japan: a comparison with the United States</w:t>
      </w:r>
      <w:r>
        <w:rPr>
          <w:rFonts w:ascii="Times New Roman" w:hAnsi="Times New Roman"/>
          <w:b w:val="0"/>
          <w:i w:val="0"/>
          <w:sz w:val="20"/>
        </w:rPr>
        <w:t xml:space="preserve">', </w:t>
      </w:r>
      <w:r>
        <w:rPr>
          <w:rFonts w:ascii="Times New Roman" w:hAnsi="Times New Roman"/>
          <w:b w:val="0"/>
          <w:i/>
          <w:sz w:val="20"/>
        </w:rPr>
        <w:t>Health Policy</w:t>
      </w:r>
      <w:r>
        <w:rPr>
          <w:rFonts w:ascii="Times New Roman" w:hAnsi="Times New Roman"/>
          <w:b w:val="0"/>
          <w:i w:val="0"/>
          <w:sz w:val="20"/>
        </w:rPr>
        <w:t>. 96(3): 239-244. doi:10.1016/j.healthpol.2010.02.008</w:t>
      </w:r>
    </w:p>
    <w:p>
      <w:pPr>
        <w:spacing w:line="360" w:lineRule="auto"/>
      </w:pPr>
      <w:r>
        <w:rPr>
          <w:rFonts w:ascii="Times New Roman" w:hAnsi="Times New Roman"/>
          <w:b w:val="0"/>
          <w:i w:val="0"/>
          <w:sz w:val="20"/>
        </w:rPr>
        <w:t>McNamara, C. and Pineda-Torres, M. (2025), '</w:t>
      </w:r>
      <w:r>
        <w:rPr>
          <w:rFonts w:ascii="Times New Roman" w:hAnsi="Times New Roman"/>
          <w:b w:val="0"/>
          <w:i w:val="0"/>
          <w:sz w:val="20"/>
        </w:rPr>
        <w:t>Medical residency subsidies and physician shortages</w:t>
      </w:r>
      <w:r>
        <w:rPr>
          <w:rFonts w:ascii="Times New Roman" w:hAnsi="Times New Roman"/>
          <w:b w:val="0"/>
          <w:i w:val="0"/>
          <w:sz w:val="20"/>
        </w:rPr>
        <w:t xml:space="preserve">', </w:t>
      </w:r>
      <w:r>
        <w:rPr>
          <w:rFonts w:ascii="Times New Roman" w:hAnsi="Times New Roman"/>
          <w:b w:val="0"/>
          <w:i/>
          <w:sz w:val="20"/>
        </w:rPr>
        <w:t>J Public Econ</w:t>
      </w:r>
      <w:r>
        <w:rPr>
          <w:rFonts w:ascii="Times New Roman" w:hAnsi="Times New Roman"/>
          <w:b w:val="0"/>
          <w:i w:val="0"/>
          <w:sz w:val="20"/>
        </w:rPr>
        <w:t>. 251: 105494. doi:10.1016/j.jpubeco.2025.105494</w:t>
      </w:r>
    </w:p>
    <w:p>
      <w:pPr>
        <w:spacing w:line="360" w:lineRule="auto"/>
      </w:pPr>
      <w:r>
        <w:rPr>
          <w:rFonts w:ascii="Times New Roman" w:hAnsi="Times New Roman"/>
          <w:b w:val="0"/>
          <w:i w:val="0"/>
          <w:sz w:val="20"/>
        </w:rPr>
        <w:t>Medical Accident Investigation System (2015), Act on the Promotion of Medical Safety. Tokyo: Ministry of Health, Labour and Welfare.</w:t>
      </w:r>
    </w:p>
    <w:p>
      <w:pPr>
        <w:spacing w:line="360" w:lineRule="auto"/>
      </w:pPr>
      <w:r>
        <w:rPr>
          <w:rFonts w:ascii="Times New Roman" w:hAnsi="Times New Roman"/>
          <w:b w:val="0"/>
          <w:i w:val="0"/>
          <w:sz w:val="20"/>
        </w:rPr>
        <w:t xml:space="preserve">Mello, M.M., Kachalia, A. and Studdert, D.M. (2011), </w:t>
      </w:r>
      <w:r>
        <w:rPr>
          <w:rFonts w:ascii="Times New Roman" w:hAnsi="Times New Roman"/>
          <w:b w:val="0"/>
          <w:i/>
          <w:sz w:val="20"/>
        </w:rPr>
        <w:t>Administrative compensation for medical injuries: lessons from three foreign systems.</w:t>
      </w:r>
      <w:r>
        <w:rPr>
          <w:rFonts w:ascii="Times New Roman" w:hAnsi="Times New Roman"/>
          <w:b w:val="0"/>
          <w:i w:val="0"/>
          <w:sz w:val="20"/>
        </w:rPr>
        <w:t xml:space="preserve"> New York: The Commonwealth Fund.</w:t>
      </w:r>
    </w:p>
    <w:p>
      <w:pPr>
        <w:spacing w:line="360" w:lineRule="auto"/>
      </w:pPr>
      <w:r>
        <w:rPr>
          <w:rFonts w:ascii="Times New Roman" w:hAnsi="Times New Roman"/>
          <w:b w:val="0"/>
          <w:i w:val="0"/>
          <w:sz w:val="20"/>
        </w:rPr>
        <w:t xml:space="preserve">Ministry of Health, Labour and Welfare (2015), </w:t>
      </w:r>
      <w:r>
        <w:rPr>
          <w:rFonts w:ascii="Times New Roman" w:hAnsi="Times New Roman"/>
          <w:b w:val="0"/>
          <w:i/>
          <w:sz w:val="20"/>
        </w:rPr>
        <w:t>Number of physicians 3-5 years after medical registration, by principal specialty.</w:t>
      </w:r>
      <w:r>
        <w:rPr>
          <w:rFonts w:ascii="Times New Roman" w:hAnsi="Times New Roman"/>
          <w:b w:val="0"/>
          <w:i w:val="0"/>
          <w:sz w:val="20"/>
        </w:rPr>
        <w:t xml:space="preserve"> Tokyo: MHLW. Available at: https://www.mhlw.go.jp/file/06-Seisakujouhou-10800000-Iseikyoku/323.pdf (Accessed 15 August 2026).</w:t>
      </w:r>
    </w:p>
    <w:p>
      <w:pPr>
        <w:spacing w:line="360" w:lineRule="auto"/>
      </w:pPr>
      <w:r>
        <w:rPr>
          <w:rFonts w:ascii="Times New Roman" w:hAnsi="Times New Roman"/>
          <w:b w:val="0"/>
          <w:i w:val="0"/>
          <w:sz w:val="20"/>
        </w:rPr>
        <w:t xml:space="preserve">Ministry of Health, Labour and Welfare (2018), </w:t>
      </w:r>
      <w:r>
        <w:rPr>
          <w:rFonts w:ascii="Times New Roman" w:hAnsi="Times New Roman"/>
          <w:b w:val="0"/>
          <w:i/>
          <w:sz w:val="20"/>
        </w:rPr>
        <w:t>Adoption status of specialist trainees under the new specialist training system (toward the FY2018 launch).</w:t>
      </w:r>
      <w:r>
        <w:rPr>
          <w:rFonts w:ascii="Times New Roman" w:hAnsi="Times New Roman"/>
          <w:b w:val="0"/>
          <w:i w:val="0"/>
          <w:sz w:val="20"/>
        </w:rPr>
        <w:t xml:space="preserve"> Tokyo: MHLW. Available at: https://www.mhlw.go.jp/content/10803000/000452411.pdf (Accessed 15 August 2026).</w:t>
      </w:r>
    </w:p>
    <w:p>
      <w:pPr>
        <w:spacing w:line="360" w:lineRule="auto"/>
      </w:pPr>
      <w:r>
        <w:rPr>
          <w:rFonts w:ascii="Times New Roman" w:hAnsi="Times New Roman"/>
          <w:b w:val="0"/>
          <w:i w:val="0"/>
          <w:sz w:val="20"/>
        </w:rPr>
        <w:t xml:space="preserve">Ministry of Health, Labour and Welfare (2024a), </w:t>
      </w:r>
      <w:r>
        <w:rPr>
          <w:rFonts w:ascii="Times New Roman" w:hAnsi="Times New Roman"/>
          <w:b w:val="0"/>
          <w:i/>
          <w:sz w:val="20"/>
        </w:rPr>
        <w:t>Statistics of physicians, dentists and pharmacists.</w:t>
      </w:r>
      <w:r>
        <w:rPr>
          <w:rFonts w:ascii="Times New Roman" w:hAnsi="Times New Roman"/>
          <w:b w:val="0"/>
          <w:i w:val="0"/>
          <w:sz w:val="20"/>
        </w:rPr>
        <w:t xml:space="preserve"> Tokyo: MHLW. Available at: https://www.mhlw.go.jp/toukei/list/33-20b.html (Accessed 11 August 2026).</w:t>
      </w:r>
    </w:p>
    <w:p>
      <w:pPr>
        <w:spacing w:line="360" w:lineRule="auto"/>
      </w:pPr>
      <w:r>
        <w:rPr>
          <w:rFonts w:ascii="Times New Roman" w:hAnsi="Times New Roman"/>
          <w:b w:val="0"/>
          <w:i w:val="0"/>
          <w:sz w:val="20"/>
        </w:rPr>
        <w:t xml:space="preserve">Ministry of Health, Labour and Welfare (2024b), </w:t>
      </w:r>
      <w:r>
        <w:rPr>
          <w:rFonts w:ascii="Times New Roman" w:hAnsi="Times New Roman"/>
          <w:b w:val="0"/>
          <w:i/>
          <w:sz w:val="20"/>
        </w:rPr>
        <w:t>Survey of medical institutions (Dynamic).</w:t>
      </w:r>
      <w:r>
        <w:rPr>
          <w:rFonts w:ascii="Times New Roman" w:hAnsi="Times New Roman"/>
          <w:b w:val="0"/>
          <w:i w:val="0"/>
          <w:sz w:val="20"/>
        </w:rPr>
        <w:t xml:space="preserve"> Tokyo: MHLW. Available at: https://www.mhlw.go.jp/toukei/list/79-1a.html (Accessed 11 August 2026).</w:t>
      </w:r>
    </w:p>
    <w:p>
      <w:pPr>
        <w:spacing w:line="360" w:lineRule="auto"/>
      </w:pPr>
      <w:r>
        <w:rPr>
          <w:rFonts w:ascii="Times New Roman" w:hAnsi="Times New Roman"/>
          <w:b w:val="0"/>
          <w:i w:val="0"/>
          <w:sz w:val="20"/>
        </w:rPr>
        <w:t>Morita, H. (2018), '</w:t>
      </w:r>
      <w:r>
        <w:rPr>
          <w:rFonts w:ascii="Times New Roman" w:hAnsi="Times New Roman"/>
          <w:b w:val="0"/>
          <w:i w:val="0"/>
          <w:sz w:val="20"/>
        </w:rPr>
        <w:t>Criminal prosecution and physician supply</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55: 1-11.</w:t>
      </w:r>
    </w:p>
    <w:p>
      <w:pPr>
        <w:spacing w:line="360" w:lineRule="auto"/>
      </w:pPr>
      <w:r>
        <w:rPr>
          <w:rFonts w:ascii="Times New Roman" w:hAnsi="Times New Roman"/>
          <w:b w:val="0"/>
          <w:i w:val="0"/>
          <w:sz w:val="20"/>
        </w:rPr>
        <w:t>Nikkei Inc (2024), Nikkei Telecom 21. Tokyo: Nikkei Inc. Available at: https://telecom.nikkei.co.jp/ (Accessed 2024).</w:t>
      </w:r>
    </w:p>
    <w:p>
      <w:pPr>
        <w:spacing w:line="360" w:lineRule="auto"/>
      </w:pPr>
      <w:r>
        <w:rPr>
          <w:rFonts w:ascii="Times New Roman" w:hAnsi="Times New Roman"/>
          <w:b w:val="0"/>
          <w:i w:val="0"/>
          <w:sz w:val="20"/>
        </w:rPr>
        <w:t>Samuelson, W. and Zeckhauser, R. (1988), '</w:t>
      </w:r>
      <w:r>
        <w:rPr>
          <w:rFonts w:ascii="Times New Roman" w:hAnsi="Times New Roman"/>
          <w:b w:val="0"/>
          <w:i w:val="0"/>
          <w:sz w:val="20"/>
        </w:rPr>
        <w:t>Status quo bias in decision making</w:t>
      </w:r>
      <w:r>
        <w:rPr>
          <w:rFonts w:ascii="Times New Roman" w:hAnsi="Times New Roman"/>
          <w:b w:val="0"/>
          <w:i w:val="0"/>
          <w:sz w:val="20"/>
        </w:rPr>
        <w:t xml:space="preserve">', </w:t>
      </w:r>
      <w:r>
        <w:rPr>
          <w:rFonts w:ascii="Times New Roman" w:hAnsi="Times New Roman"/>
          <w:b w:val="0"/>
          <w:i/>
          <w:sz w:val="20"/>
        </w:rPr>
        <w:t>J Risk Uncertain</w:t>
      </w:r>
      <w:r>
        <w:rPr>
          <w:rFonts w:ascii="Times New Roman" w:hAnsi="Times New Roman"/>
          <w:b w:val="0"/>
          <w:i w:val="0"/>
          <w:sz w:val="20"/>
        </w:rPr>
        <w:t>. 1(1): 7-59.</w:t>
      </w:r>
    </w:p>
    <w:p>
      <w:pPr>
        <w:spacing w:line="360" w:lineRule="auto"/>
      </w:pPr>
      <w:r>
        <w:rPr>
          <w:rFonts w:ascii="Times New Roman" w:hAnsi="Times New Roman"/>
          <w:b w:val="0"/>
          <w:i w:val="0"/>
          <w:sz w:val="20"/>
        </w:rPr>
        <w:t>Schuirmann, D.J. (1987), '</w:t>
      </w:r>
      <w:r>
        <w:rPr>
          <w:rFonts w:ascii="Times New Roman" w:hAnsi="Times New Roman"/>
          <w:b w:val="0"/>
          <w:i w:val="0"/>
          <w:sz w:val="20"/>
        </w:rPr>
        <w:t>A comparison of the two one-sided tests procedure and the power approach for assessing the equivalence of average bioavailability</w:t>
      </w:r>
      <w:r>
        <w:rPr>
          <w:rFonts w:ascii="Times New Roman" w:hAnsi="Times New Roman"/>
          <w:b w:val="0"/>
          <w:i w:val="0"/>
          <w:sz w:val="20"/>
        </w:rPr>
        <w:t xml:space="preserve">', </w:t>
      </w:r>
      <w:r>
        <w:rPr>
          <w:rFonts w:ascii="Times New Roman" w:hAnsi="Times New Roman"/>
          <w:b w:val="0"/>
          <w:i/>
          <w:sz w:val="20"/>
        </w:rPr>
        <w:t>J Pharmacokinet Biopharm</w:t>
      </w:r>
      <w:r>
        <w:rPr>
          <w:rFonts w:ascii="Times New Roman" w:hAnsi="Times New Roman"/>
          <w:b w:val="0"/>
          <w:i w:val="0"/>
          <w:sz w:val="20"/>
        </w:rPr>
        <w:t>. 15(6): 657-680.</w:t>
      </w:r>
    </w:p>
    <w:p>
      <w:pPr>
        <w:spacing w:line="360" w:lineRule="auto"/>
      </w:pPr>
      <w:r>
        <w:rPr>
          <w:rFonts w:ascii="Times New Roman" w:hAnsi="Times New Roman"/>
          <w:b w:val="0"/>
          <w:i w:val="0"/>
          <w:sz w:val="20"/>
        </w:rPr>
        <w:t>Sloan, F.A. and Shadle, J.H. (2008), '</w:t>
      </w:r>
      <w:r>
        <w:rPr>
          <w:rFonts w:ascii="Times New Roman" w:hAnsi="Times New Roman"/>
          <w:b w:val="0"/>
          <w:i w:val="0"/>
          <w:sz w:val="20"/>
        </w:rPr>
        <w:t>Is there empirical evidence for "Defensive Medicine"? A reassessment</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27(2): 481-491.</w:t>
      </w:r>
    </w:p>
    <w:p>
      <w:pPr>
        <w:spacing w:line="360" w:lineRule="auto"/>
      </w:pPr>
      <w:r>
        <w:rPr>
          <w:rFonts w:ascii="Times New Roman" w:hAnsi="Times New Roman"/>
          <w:b w:val="0"/>
          <w:i w:val="0"/>
          <w:sz w:val="20"/>
        </w:rPr>
        <w:t>Studdert, D.M., Mello, M.M. and Brennan, T.A. (2004), '</w:t>
      </w:r>
      <w:r>
        <w:rPr>
          <w:rFonts w:ascii="Times New Roman" w:hAnsi="Times New Roman"/>
          <w:b w:val="0"/>
          <w:i w:val="0"/>
          <w:sz w:val="20"/>
        </w:rPr>
        <w:t>Medical malpractice</w:t>
      </w:r>
      <w:r>
        <w:rPr>
          <w:rFonts w:ascii="Times New Roman" w:hAnsi="Times New Roman"/>
          <w:b w:val="0"/>
          <w:i w:val="0"/>
          <w:sz w:val="20"/>
        </w:rPr>
        <w:t xml:space="preserve">', </w:t>
      </w:r>
      <w:r>
        <w:rPr>
          <w:rFonts w:ascii="Times New Roman" w:hAnsi="Times New Roman"/>
          <w:b w:val="0"/>
          <w:i/>
          <w:sz w:val="20"/>
        </w:rPr>
        <w:t>N Engl J Med</w:t>
      </w:r>
      <w:r>
        <w:rPr>
          <w:rFonts w:ascii="Times New Roman" w:hAnsi="Times New Roman"/>
          <w:b w:val="0"/>
          <w:i w:val="0"/>
          <w:sz w:val="20"/>
        </w:rPr>
        <w:t>. 350(3): 283-292.</w:t>
      </w:r>
    </w:p>
    <w:p>
      <w:pPr>
        <w:spacing w:line="360" w:lineRule="auto"/>
      </w:pPr>
      <w:r>
        <w:rPr>
          <w:rFonts w:ascii="Times New Roman" w:hAnsi="Times New Roman"/>
          <w:b w:val="0"/>
          <w:i w:val="0"/>
          <w:sz w:val="20"/>
        </w:rPr>
        <w:t xml:space="preserve">Supreme Court of Japan, Committee on Medical Litigation (2024), </w:t>
      </w:r>
      <w:r>
        <w:rPr>
          <w:rFonts w:ascii="Times New Roman" w:hAnsi="Times New Roman"/>
          <w:b w:val="0"/>
          <w:i/>
          <w:sz w:val="20"/>
        </w:rPr>
        <w:t>Statistics on medical malpractice litigation (closed cases by specialty).</w:t>
      </w:r>
      <w:r>
        <w:rPr>
          <w:rFonts w:ascii="Times New Roman" w:hAnsi="Times New Roman"/>
          <w:b w:val="0"/>
          <w:i w:val="0"/>
          <w:sz w:val="20"/>
        </w:rPr>
        <w:t xml:space="preserve"> Tokyo: Supreme Court of Japan. Available at: https://www.courts.go.jp/ (Accessed 11 August 2026).</w:t>
      </w:r>
    </w:p>
    <w:p>
      <w:pPr>
        <w:spacing w:line="360" w:lineRule="auto"/>
      </w:pPr>
      <w:r>
        <w:rPr>
          <w:rFonts w:ascii="Times New Roman" w:hAnsi="Times New Roman"/>
          <w:b w:val="0"/>
          <w:i w:val="0"/>
          <w:sz w:val="20"/>
        </w:rPr>
        <w:t>Taniguchi, K., Watari, T. and Nagoshi, K. (2023), '</w:t>
      </w:r>
      <w:r>
        <w:rPr>
          <w:rFonts w:ascii="Times New Roman" w:hAnsi="Times New Roman"/>
          <w:b w:val="0"/>
          <w:i w:val="0"/>
          <w:sz w:val="20"/>
        </w:rPr>
        <w:t>Characteristics and trends of medical malpractice claims in Japan between 2006 and 2021</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18(12): e0296155.</w:t>
      </w:r>
    </w:p>
    <w:p>
      <w:pPr>
        <w:spacing w:line="360" w:lineRule="auto"/>
      </w:pPr>
      <w:r>
        <w:rPr>
          <w:rFonts w:ascii="Times New Roman" w:hAnsi="Times New Roman"/>
          <w:b w:val="0"/>
          <w:i w:val="0"/>
          <w:sz w:val="20"/>
        </w:rPr>
        <w:t>Tversky, A. and Kahneman, D. (1973), '</w:t>
      </w:r>
      <w:r>
        <w:rPr>
          <w:rFonts w:ascii="Times New Roman" w:hAnsi="Times New Roman"/>
          <w:b w:val="0"/>
          <w:i w:val="0"/>
          <w:sz w:val="20"/>
        </w:rPr>
        <w:t>Availability: a heuristic for judging frequency and probability</w:t>
      </w:r>
      <w:r>
        <w:rPr>
          <w:rFonts w:ascii="Times New Roman" w:hAnsi="Times New Roman"/>
          <w:b w:val="0"/>
          <w:i w:val="0"/>
          <w:sz w:val="20"/>
        </w:rPr>
        <w:t xml:space="preserve">', </w:t>
      </w:r>
      <w:r>
        <w:rPr>
          <w:rFonts w:ascii="Times New Roman" w:hAnsi="Times New Roman"/>
          <w:b w:val="0"/>
          <w:i/>
          <w:sz w:val="20"/>
        </w:rPr>
        <w:t>Cogn Psychol</w:t>
      </w:r>
      <w:r>
        <w:rPr>
          <w:rFonts w:ascii="Times New Roman" w:hAnsi="Times New Roman"/>
          <w:b w:val="0"/>
          <w:i w:val="0"/>
          <w:sz w:val="20"/>
        </w:rPr>
        <w:t>. 5(2): 207-232.</w:t>
      </w:r>
    </w:p>
    <w:p>
      <w:pPr>
        <w:spacing w:line="360" w:lineRule="auto"/>
      </w:pPr>
      <w:r>
        <w:rPr>
          <w:rFonts w:ascii="Times New Roman" w:hAnsi="Times New Roman"/>
          <w:b w:val="0"/>
          <w:i w:val="0"/>
          <w:sz w:val="20"/>
        </w:rPr>
        <w:t>von Elm, E., Altman, D.G., Egger, M., et al. (2007), '</w:t>
      </w:r>
      <w:r>
        <w:rPr>
          <w:rFonts w:ascii="Times New Roman" w:hAnsi="Times New Roman"/>
          <w:b w:val="0"/>
          <w:i w:val="0"/>
          <w:sz w:val="20"/>
        </w:rPr>
        <w:t>The STROBE statement</w:t>
      </w:r>
      <w:r>
        <w:rPr>
          <w:rFonts w:ascii="Times New Roman" w:hAnsi="Times New Roman"/>
          <w:b w:val="0"/>
          <w:i w:val="0"/>
          <w:sz w:val="20"/>
        </w:rPr>
        <w:t xml:space="preserve">', </w:t>
      </w:r>
      <w:r>
        <w:rPr>
          <w:rFonts w:ascii="Times New Roman" w:hAnsi="Times New Roman"/>
          <w:b w:val="0"/>
          <w:i/>
          <w:sz w:val="20"/>
        </w:rPr>
        <w:t>Lancet</w:t>
      </w:r>
      <w:r>
        <w:rPr>
          <w:rFonts w:ascii="Times New Roman" w:hAnsi="Times New Roman"/>
          <w:b w:val="0"/>
          <w:i w:val="0"/>
          <w:sz w:val="20"/>
        </w:rPr>
        <w:t>. 370(9596): 1453-1457.</w:t>
      </w:r>
    </w:p>
    <w:p>
      <w:pPr>
        <w:pStyle w:val="Heading1"/>
      </w:pPr>
      <w:r>
        <w:rPr>
          <w:rFonts w:ascii="Times New Roman" w:hAnsi="Times New Roman"/>
          <w:color w:val="000000"/>
        </w:rPr>
        <w:t>Figures and Tables</w:t>
      </w:r>
    </w:p>
    <w:p>
      <w:pPr>
        <w:spacing w:before="280" w:after="120"/>
      </w:pPr>
      <w:r>
        <w:rPr>
          <w:rFonts w:ascii="Times New Roman" w:hAnsi="Times New Roman"/>
          <w:b/>
          <w:sz w:val="20"/>
        </w:rPr>
        <w:t>Table 1. Physicians, litigation rate (per 1,000 physicians) and hospital facilities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 facilities 2008</w:t>
            </w:r>
          </w:p>
        </w:tc>
        <w:tc>
          <w:tcPr>
            <w:tcW w:type="dxa" w:w="1337"/>
          </w:tcPr>
          <w:p>
            <w:pPr>
              <w:jc w:val="center"/>
            </w:pPr>
            <w:r>
              <w:rPr>
                <w:rFonts w:ascii="Times New Roman" w:hAnsi="Times New Roman"/>
                <w:b/>
                <w:sz w:val="18"/>
              </w:rPr>
              <w:t>Hospital facilities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spacing w:before="280" w:after="120"/>
      </w:pPr>
      <w:r>
        <w:rPr>
          <w:rFonts w:ascii="Times New Roman" w:hAnsi="Times New Roman"/>
          <w:b/>
          <w:sz w:val="20"/>
        </w:rPr>
        <w:t>Figure 1. Equivalence (TOST) of the litigation-rate effect against +/-1% and +/-2% margins; horizontal bars are 90% confidence intervals.</w:t>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facility-count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facility-count growth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(workforce-&gt;litigation)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spacing w:before="280"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
      <w:pPr>
        <w:spacing w:before="280" w:after="120"/>
      </w:pPr>
      <w:r>
        <w:rPr>
          <w:rFonts w:ascii="Times New Roman" w:hAnsi="Times New Roman"/>
          <w:b/>
          <w:sz w:val="20"/>
        </w:rPr>
        <w:t>Figure 3. Biennial hospital facility-count growth against lagged litigation exposure measured as (a) counts and (b) rates. Points are coloured by specialty; the rate-adjusted panel shows no systematic association.</w:t>
      </w:r>
    </w:p>
    <w:p/>
    <w:p>
      <w:pPr>
        <w:spacing w:before="280" w:after="120"/>
      </w:pPr>
      <w:r>
        <w:rPr>
          <w:rFonts w:ascii="Times New Roman" w:hAnsi="Times New Roman"/>
          <w:b/>
          <w:sz w:val="20"/>
        </w:rPr>
        <w:t>Figure 4. Counterfactual policy simulation: marginal 10-year change in physician counts by specialty relative to the projected baseline drift. The MDE benchmark is the minimum detectable per-SD effect from the primary analysis.</w:t>
      </w:r>
    </w:p>
    <w:p/>
    <w:p>
      <w:pPr>
        <w:pStyle w:val="Heading1"/>
      </w:pPr>
      <w:r>
        <w:rPr>
          <w:rFonts w:ascii="Times New Roman" w:hAnsi="Times New Roman"/>
          <w:color w:val="000000"/>
        </w:rPr>
        <w:t>Declaration of artificial intelligence use</w:t>
      </w:r>
    </w:p>
    <w:p>
      <w:pPr>
        <w:spacing w:line="480" w:lineRule="auto" w:after="120"/>
      </w:pPr>
      <w:r>
        <w:rPr>
          <w:rFonts w:ascii="Times New Roman" w:hAnsi="Times New Roman"/>
          <w:b w:val="0"/>
          <w:i w:val="0"/>
          <w:sz w:val="24"/>
        </w:rPr>
        <w:t>During the preparation of this work the author(s) used generative artificial intelligence tools to assist with literature synthesis, drafting, code generation for data analysis, and manuscript preparation. All generated content was reviewed, edited, and verified by the author(s), who take full responsibility for the final content.</w:t>
      </w:r>
    </w:p>
    <w:p>
      <w:pPr>
        <w:pStyle w:val="Heading1"/>
      </w:pPr>
      <w:r>
        <w:rPr>
          <w:rFonts w:ascii="Times New Roman" w:hAnsi="Times New Roman"/>
          <w:color w:val="000000"/>
        </w:rPr>
        <w:t>Funding</w:t>
      </w:r>
    </w:p>
    <w:p>
      <w:pPr>
        <w:spacing w:line="480" w:lineRule="auto" w:after="120"/>
      </w:pPr>
      <w:r>
        <w:rPr>
          <w:rFonts w:ascii="Times New Roman" w:hAnsi="Times New Roman"/>
          <w:b w:val="0"/>
          <w:i w:val="0"/>
          <w:sz w:val="24"/>
        </w:rPr>
        <w:t>This research received no specific grant from any funding agency in the public, commercial or not-for-profit sectors.</w:t>
      </w:r>
    </w:p>
    <w:p>
      <w:pPr>
        <w:pStyle w:val="Heading1"/>
      </w:pPr>
      <w:r>
        <w:rPr>
          <w:rFonts w:ascii="Times New Roman" w:hAnsi="Times New Roman"/>
          <w:color w:val="000000"/>
        </w:rPr>
        <w:t>Competing interests</w:t>
      </w:r>
    </w:p>
    <w:p>
      <w:pPr>
        <w:spacing w:line="480" w:lineRule="auto" w:after="120"/>
      </w:pPr>
      <w:r>
        <w:rPr>
          <w:rFonts w:ascii="Times New Roman" w:hAnsi="Times New Roman"/>
          <w:b w:val="0"/>
          <w:i w:val="0"/>
          <w:sz w:val="24"/>
        </w:rPr>
        <w:t>The authors declare no competing interests.</w:t>
      </w:r>
    </w:p>
    <w:p>
      <w:pPr>
        <w:pStyle w:val="Heading1"/>
      </w:pPr>
      <w:r>
        <w:rPr>
          <w:rFonts w:ascii="Times New Roman" w:hAnsi="Times New Roman"/>
          <w:color w:val="000000"/>
        </w:rPr>
        <w:t>Data availability</w:t>
      </w:r>
    </w:p>
    <w:p>
      <w:pPr>
        <w:spacing w:line="480" w:lineRule="auto" w:after="120"/>
      </w:pPr>
      <w:r>
        <w:rPr>
          <w:rFonts w:ascii="Times New Roman" w:hAnsi="Times New Roman"/>
          <w:b w:val="0"/>
          <w:i w:val="0"/>
          <w:sz w:val="24"/>
        </w:rPr>
        <w:t>All primary data files, extraction scripts and analysis code are openly available in the project repository (URL omitted for anonymised peer review), enabling full reproduction of every reported number. The full repository URL is provided to the editor on request.</w:t>
      </w:r>
    </w:p>
    <w:p>
      <w:pPr>
        <w:pStyle w:val="Heading1"/>
      </w:pPr>
      <w:r>
        <w:rPr>
          <w:rFonts w:ascii="Times New Roman" w:hAnsi="Times New Roman"/>
          <w:color w:val="000000"/>
        </w:rPr>
        <w:t>Ethics approval</w:t>
      </w:r>
    </w:p>
    <w:p>
      <w:pPr>
        <w:spacing w:line="480" w:lineRule="auto" w:after="120"/>
      </w:pPr>
      <w:r>
        <w:rPr>
          <w:rFonts w:ascii="Times New Roman" w:hAnsi="Times New Roman"/>
          <w:b w:val="0"/>
          <w:i w:val="0"/>
          <w:sz w:val="24"/>
        </w:rPr>
        <w:t>This study used publicly available aggregated national statistics and did not involve human subjects, identifiable data or patient records; no ethics approval was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