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Times New Roman" w:hAnsi="Times New Roman"/>
          <w:b/>
          <w:sz w:val="30"/>
        </w:rPr>
        <w:t>Litigation risk and specialty-level physician and hospital supply in Japan, 2008–2024: a rate-based analysis with equivalence testing</w:t>
      </w:r>
    </w:p>
    <w:p>
      <w:pPr>
        <w:jc w:val="center"/>
      </w:pPr>
      <w:r>
        <w:rPr>
          <w:rFonts w:ascii="Times New Roman" w:hAnsi="Times New Roman"/>
          <w:sz w:val="24"/>
        </w:rPr>
        <w:t>Authors: Tatsuki Onishi</w:t>
      </w:r>
    </w:p>
    <w:p>
      <w:pPr>
        <w:jc w:val="center"/>
      </w:pPr>
      <w:r>
        <w:rPr>
          <w:rFonts w:ascii="Times New Roman" w:hAnsi="Times New Roman"/>
          <w:sz w:val="24"/>
        </w:rPr>
        <w:t>Affiliation: Data Science AI Innovation Research Promotion Center, Shiga University, 1-1-1 Bamba, Hikone, Shiga 522-8522, Japan</w:t>
      </w:r>
    </w:p>
    <w:p>
      <w:pPr>
        <w:jc w:val="center"/>
      </w:pPr>
      <w:r>
        <w:rPr>
          <w:rFonts w:ascii="Times New Roman" w:hAnsi="Times New Roman"/>
          <w:sz w:val="24"/>
        </w:rPr>
        <w:t>Corresponding author: Tatsuki Onishi</w:t>
      </w:r>
    </w:p>
    <w:p>
      <w:pPr>
        <w:jc w:val="center"/>
      </w:pPr>
      <w:r>
        <w:rPr>
          <w:rFonts w:ascii="Times New Roman" w:hAnsi="Times New Roman"/>
          <w:sz w:val="24"/>
        </w:rPr>
        <w:t>Corresponding author address: Data Science AI Innovation Research Promotion Center, Shiga University, 1-1-1 Bamba, Hikone, Shiga 522-8522, Japan</w:t>
      </w:r>
    </w:p>
    <w:p>
      <w:pPr>
        <w:jc w:val="center"/>
      </w:pPr>
      <w:r>
        <w:rPr>
          <w:rFonts w:ascii="Times New Roman" w:hAnsi="Times New Roman"/>
          <w:sz w:val="24"/>
        </w:rPr>
        <w:t>Corresponding author email: [corresponding author email]</w:t>
      </w:r>
    </w:p>
    <w:p>
      <w:pPr>
        <w:jc w:val="center"/>
      </w:pPr>
      <w:r>
        <w:rPr>
          <w:rFonts w:ascii="Times New Roman" w:hAnsi="Times New Roman"/>
          <w:sz w:val="24"/>
        </w:rPr>
        <w:t>Acknowledgements: none</w:t>
      </w:r>
    </w:p>
    <w:p>
      <w:pPr>
        <w:jc w:val="center"/>
      </w:pPr>
      <w:r>
        <w:rPr>
          <w:rFonts w:ascii="Times New Roman" w:hAnsi="Times New Roman"/>
          <w:sz w:val="24"/>
        </w:rPr>
        <w:t>Word count (main text, including Research in context): approximately 3124 words (excluding abstract, references, declarations, tables and figure legends)</w:t>
      </w:r>
    </w:p>
    <w:p>
      <w:pPr>
        <w:jc w:val="center"/>
      </w:pPr>
      <w:r>
        <w:rPr>
          <w:rFonts w:ascii="Times New Roman" w:hAnsi="Times New Roman"/>
          <w:sz w:val="24"/>
        </w:rPr>
        <w:t>Article type: Full-length article</w:t>
      </w:r>
    </w:p>
    <w:p>
      <w:pPr>
        <w:jc w:val="center"/>
      </w:pPr>
      <w:r>
        <w:rPr>
          <w:rFonts w:ascii="Times New Roman" w:hAnsi="Times New Roman"/>
          <w:sz w:val="24"/>
        </w:rPr>
        <w:t>Tables: 2  Figures: 2  Supplementary tables: 4  Supplementary figures: 2</w:t>
      </w:r>
    </w:p>
    <w:p>
      <w:pPr>
        <w:jc w:val="center"/>
      </w:pPr>
      <w:r>
        <w:rPr>
          <w:rFonts w:ascii="Times New Roman" w:hAnsi="Times New Roman"/>
          <w:sz w:val="24"/>
        </w:rPr>
        <w:t>Conflicts of interest: none declared</w:t>
      </w:r>
    </w:p>
    <w:p>
      <w:pPr>
        <w:jc w:val="center"/>
      </w:pPr>
      <w:r>
        <w:rPr>
          <w:rFonts w:ascii="Times New Roman" w:hAnsi="Times New Roman"/>
          <w:sz w:val="24"/>
        </w:rPr>
        <w:t>Funding: none</w:t>
      </w:r>
    </w:p>
    <w:p>
      <w:pPr>
        <w:jc w:val="center"/>
      </w:pPr>
      <w:r>
        <w:rPr>
          <w:rFonts w:ascii="Times New Roman" w:hAnsi="Times New Roman"/>
          <w:sz w:val="24"/>
        </w:rPr>
        <w:t>Declaration of generative AI use: Generative AI and AI-assisted technologies were used to assist with coding, data analysis, figure generation, and manuscript drafting; the authors verified all outputs.</w:t>
      </w:r>
    </w:p>
    <w:p>
      <w:pPr>
        <w:jc w:val="center"/>
      </w:pPr>
      <w:r>
        <w:rPr>
          <w:rFonts w:ascii="Times New Roman" w:hAnsi="Times New Roman"/>
          <w:sz w:val="24"/>
        </w:rPr>
        <w:t>Data availability: all primary data and analysis code are openly available in the project repository.</w:t>
      </w:r>
    </w:p>
    <w:p>
      <w:pPr>
        <w:jc w:val="center"/>
      </w:pPr>
      <w:r>
        <w:rPr>
          <w:rFonts w:ascii="Times New Roman" w:hAnsi="Times New Roman"/>
          <w:sz w:val="24"/>
        </w:rPr>
        <w:t>CRediT author contribution statement: Tatsuki Onishi conceptualised the study, collected and curated data, performed the formal analysis, wrote the original draft, and approved the final manuscript.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Arial"/>
        <a:font script="Hang" typeface="Arial"/>
        <a:font script="Hans" typeface="Arial"/>
        <a:font script="Hant" typeface="Arial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Arial"/>
        <a:font script="Hang" typeface="Arial"/>
        <a:font script="Hans" typeface="Arial"/>
        <a:font script="Hant" typeface="Arial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