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pStyle w:val="Heading2"/>
      </w:pPr>
      <w:r>
        <w:rPr>
          <w:rFonts w:ascii="Times New Roman" w:hAnsi="Times New Roman"/>
          <w:color w:val="000000"/>
        </w:rPr>
        <w:t>Supplementary Note 1. Detailed statistical methods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This note records the full model specification, equivalence-testing rationale, and power diagnostics summarised in the main text. It also describes the heterogeneity and trend-stability checks reported in Supplementary Table 9.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Primary estimating equation. Let s index specialty, t index the biennial wave, and Y be the count of physicians or hospitals. The baseline model is</w:t>
      </w:r>
    </w:p>
    <w:p>
      <w:pPr>
        <w:jc w:val="center"/>
      </w:pPr>
      <m:oMath xmlns:mml="http://www.w3.org/1998/Math/MathML">
        <m:r>
          <m:t>Δ</m:t>
        </m:r>
        <m:r>
          <m:rPr>
            <m:sty m:val="p"/>
          </m:rPr>
          <m:t>log</m:t>
        </m:r>
        <m:r>
          <m:t>(</m:t>
        </m:r>
        <m:sSub>
          <m:e>
            <m:r>
              <m:t>Y</m:t>
            </m:r>
          </m:e>
          <m:sub>
            <m:r>
              <m:t>st</m:t>
            </m:r>
          </m:sub>
        </m:sSub>
        <m:r>
          <m:t>)=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+</m:t>
        </m:r>
        <m:sSub>
          <m:e>
            <m:r>
              <m:t>δ</m:t>
            </m:r>
          </m:e>
          <m:sub>
            <m:r>
              <m:t>t</m:t>
            </m:r>
          </m:sub>
        </m:sSub>
        <m:r>
          <m:t>+β·</m:t>
        </m:r>
        <m:sSub>
          <m:e>
            <m:r>
              <m:rPr>
                <m:nor/>
              </m:rPr>
              <m:t>litrate</m:t>
            </m:r>
          </m:e>
          <m:sub>
            <m:r>
              <m:t>s,t−1</m:t>
            </m:r>
          </m:sub>
        </m:sSub>
        <m:r>
          <m:t>+γ·</m:t>
        </m:r>
        <m:sSub>
          <m:e>
            <m:r>
              <m:rPr>
                <m:nor/>
              </m:rPr>
              <m:t>JOCS-CP</m:t>
            </m:r>
          </m:e>
          <m:sub>
            <m:r>
              <m:t>s,t−1</m:t>
            </m:r>
          </m:sub>
        </m:sSub>
        <m:r>
          <m:t>+</m:t>
        </m:r>
        <m:sSub>
          <m:e>
            <m:r>
              <m:t>ϵ</m:t>
            </m:r>
          </m:e>
          <m:sub>
            <m:r>
              <m:t>st</m:t>
            </m:r>
          </m:sub>
        </m:sSub>
      </m:oMath>
    </w:p>
    <w:p>
      <w:pPr>
        <w:spacing w:line="480" w:lineRule="auto" w:after="120"/>
      </w:pPr>
      <w:r>
        <w:rPr>
          <w:rFonts w:ascii="Times New Roman" w:hAnsi="Times New Roman"/>
          <w:i w:val="0"/>
          <w:sz w:val="24"/>
        </w:rPr>
        <w:t xml:space="preserve">where </w:t>
      </w:r>
      <w:r>
        <w:rPr>
          <w:rFonts w:ascii="Times New Roman" w:hAnsi="Times New Roman"/>
          <w:i/>
          <w:sz w:val="24"/>
        </w:rPr>
        <w:t>Y</w:t>
      </w:r>
      <w:r>
        <w:rPr>
          <w:rFonts w:ascii="Times New Roman" w:hAnsi="Times New Roman"/>
          <w:i w:val="0"/>
          <w:sz w:val="24"/>
        </w:rPr>
        <w:t xml:space="preserve"> is either physicians or hospitals, </w:t>
      </w:r>
      <m:oMath xmlns:mml="http://www.w3.org/1998/Math/MathML">
        <m:sSub>
          <m:e>
            <m:r>
              <m:t>α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  <w:i w:val="0"/>
          <w:sz w:val="24"/>
        </w:rPr>
        <w:t xml:space="preserve"> are specialty fixed effects, </w:t>
      </w:r>
      <m:oMath xmlns:mml="http://www.w3.org/1998/Math/MathML">
        <m:sSub>
          <m:e>
            <m: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/>
          <w:i w:val="0"/>
          <w:sz w:val="24"/>
        </w:rPr>
        <w:t xml:space="preserve"> are wave fixed effects, </w:t>
      </w:r>
      <w:r>
        <w:rPr>
          <w:rFonts w:ascii="Times New Roman" w:hAnsi="Times New Roman"/>
          <w:i/>
          <w:sz w:val="24"/>
        </w:rPr>
        <w:t>litrate</w:t>
      </w:r>
      <w:r>
        <w:rPr>
          <w:rFonts w:ascii="Times New Roman" w:hAnsi="Times New Roman"/>
          <w:i w:val="0"/>
          <w:sz w:val="24"/>
        </w:rPr>
        <w:t xml:space="preserve"> is closed malpractice claims per 1,000 physicians, and </w:t>
      </w:r>
      <w:r>
        <w:rPr>
          <w:rFonts w:ascii="Times New Roman" w:hAnsi="Times New Roman"/>
          <w:i/>
          <w:sz w:val="24"/>
        </w:rPr>
        <w:t>JOCS-CP</w:t>
      </w:r>
      <w:r>
        <w:rPr>
          <w:rFonts w:ascii="Times New Roman" w:hAnsi="Times New Roman"/>
          <w:i w:val="0"/>
          <w:sz w:val="24"/>
        </w:rPr>
        <w:t xml:space="preserve"> is an obstetrics-and-gynaecology-specific indicator from 2009 onward. Standard errors are clustered by specialty and inference uses a t-distribution with </w:t>
      </w:r>
      <w:r>
        <w:rPr>
          <w:rFonts w:ascii="Times New Roman" w:hAnsi="Times New Roman"/>
          <w:i/>
          <w:sz w:val="24"/>
        </w:rPr>
        <w:t>G-1</w:t>
      </w:r>
      <w:r>
        <w:rPr>
          <w:rFonts w:ascii="Times New Roman" w:hAnsi="Times New Roman"/>
          <w:i w:val="0"/>
          <w:sz w:val="24"/>
        </w:rPr>
        <w:t xml:space="preserve"> degrees of freedom, where </w:t>
      </w:r>
      <w:r>
        <w:rPr>
          <w:rFonts w:ascii="Times New Roman" w:hAnsi="Times New Roman"/>
          <w:i/>
          <w:sz w:val="24"/>
        </w:rPr>
        <w:t>G=12</w:t>
      </w:r>
      <w:r>
        <w:rPr>
          <w:rFonts w:ascii="Times New Roman" w:hAnsi="Times New Roman"/>
          <w:i w:val="0"/>
          <w:sz w:val="24"/>
        </w:rPr>
        <w:t>.</w:t>
      </w:r>
    </w:p>
    <w:p>
      <w:pPr>
        <w:spacing w:line="480" w:lineRule="auto" w:after="120"/>
      </w:pPr>
      <w:r>
        <w:rPr>
          <w:rFonts w:ascii="Times New Roman" w:hAnsi="Times New Roman"/>
          <w:sz w:val="24"/>
        </w:rPr>
        <w:t xml:space="preserve">Equivalence testing. Two one-sided tests (TOST) evaluate whether the per-SD litigation-rate coefficient </w:t>
      </w:r>
      <m:oMath xmlns:mml="http://www.w3.org/1998/Math/MathML">
        <m:r>
          <m:t>β</m:t>
        </m:r>
      </m:oMath>
      <w:r>
        <w:rPr>
          <w:rFonts w:ascii="Times New Roman" w:hAnsi="Times New Roman"/>
          <w:sz w:val="24"/>
        </w:rPr>
        <w:t xml:space="preserve"> lies inside a pre-specified symmetric margin </w:t>
      </w:r>
      <w:r>
        <w:rPr>
          <w:rFonts w:ascii="Times New Roman" w:hAnsi="Times New Roman"/>
          <w:i/>
          <w:sz w:val="24"/>
        </w:rPr>
        <w:t>m</w:t>
      </w:r>
      <w:r>
        <w:rPr>
          <w:rFonts w:ascii="Times New Roman" w:hAnsi="Times New Roman"/>
          <w:sz w:val="24"/>
        </w:rPr>
        <w:t>. The null hypotheses are</w:t>
      </w:r>
    </w:p>
    <w:p>
      <w:pPr>
        <w:jc w:val="center"/>
      </w:pPr>
      <m:oMath xmlns:mml="http://www.w3.org/1998/Math/MathML">
        <m:sSub>
          <m:e>
            <m:r>
              <m:t>H</m:t>
            </m:r>
          </m:e>
          <m:sub>
            <m:r>
              <m:t>0</m:t>
            </m:r>
          </m:sub>
        </m:sSub>
        <m:r>
          <m:t>:β≤−m</m:t>
        </m:r>
        <m:r>
          <m:rPr>
            <m:nor/>
          </m:rPr>
          <m:t>and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t>:β≥+m</m:t>
        </m:r>
      </m:oMath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Equivalence is declared when both one-sided tests yield p &lt; 0.05. Margins of 1% and 2% biennial workforce change were chosen because they are smaller than typical policy targets for specialty rebalancing.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Power diagnostics. The minimum detectable effect (MDE) at 80% power for the per-SD coefficient is given by the following expressions, where F_t denotes the cumulative distribution function of the t(df) distribution.</w:t>
      </w:r>
    </w:p>
    <w:p>
      <w:pPr>
        <w:jc w:val="center"/>
      </w:pPr>
      <m:oMath xmlns:mml="http://www.w3.org/1998/Math/MathML">
        <m:r>
          <m:rPr>
            <m:nor/>
          </m:rPr>
          <m:t>MDE</m:t>
        </m:r>
        <m:r>
          <m:t>=(</m:t>
        </m:r>
        <m:sSub>
          <m:e>
            <m:r>
              <m:t>t</m:t>
            </m:r>
          </m:e>
          <m:sub>
            <m:r>
              <m:t>0.975,df</m:t>
            </m:r>
          </m:sub>
        </m:sSub>
        <m:r>
          <m:t>+</m:t>
        </m:r>
        <m:sSub>
          <m:e>
            <m:r>
              <m:t>t</m:t>
            </m:r>
          </m:e>
          <m:sub>
            <m:r>
              <m:t>0.80,df</m:t>
            </m:r>
          </m:sub>
        </m:sSub>
        <m:r>
          <m:t>)×</m:t>
        </m:r>
        <m:r>
          <m:rPr>
            <m:nor/>
          </m:rPr>
          <m:t>SE</m:t>
        </m:r>
      </m:oMath>
    </w:p>
    <w:p>
      <w:pPr>
        <w:jc w:val="center"/>
      </w:pPr>
      <m:oMath xmlns:mml="http://www.w3.org/1998/Math/MathML">
        <m:sSub>
          <m:e>
            <m:r>
              <m:rPr>
                <m:nor/>
              </m:rPr>
              <m:t>Power</m:t>
            </m:r>
          </m:e>
          <m:sub>
            <m:r>
              <m:rPr>
                <m:nor/>
              </m:rPr>
              <m:t>equiv</m:t>
            </m:r>
          </m:sub>
        </m:sSub>
        <m:r>
          <m:t>=2·</m:t>
        </m:r>
        <m:sSub>
          <m:e>
            <m:r>
              <m:t>F</m:t>
            </m:r>
          </m:e>
          <m:sub>
            <m:r>
              <m:t>t</m:t>
            </m:r>
          </m:sub>
        </m:sSub>
        <m:r>
          <m:t>(m/</m:t>
        </m:r>
        <m:r>
          <m:rPr>
            <m:nor/>
          </m:rPr>
          <m:t>SE</m:t>
        </m:r>
        <m:r>
          <m:t>)−1</m:t>
        </m:r>
      </m:oMath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These quantities make the limited information in a 12-cluster panel explicit.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Heterogeneity and trend stability. To test whether the association differed by baseline litigation risk or surgical orientation, the model was augmented with an interaction between litrate and a binary group indicator:</w:t>
      </w:r>
    </w:p>
    <w:p>
      <w:pPr>
        <w:jc w:val="center"/>
      </w:pPr>
      <m:oMath xmlns:mml="http://www.w3.org/1998/Math/MathML">
        <m:r>
          <m:t>Δ</m:t>
        </m:r>
        <m:r>
          <m:rPr>
            <m:sty m:val="p"/>
          </m:rPr>
          <m:t>log</m:t>
        </m:r>
        <m:r>
          <m:t>(</m:t>
        </m:r>
        <m:sSub>
          <m:e>
            <m:r>
              <m:t>Y</m:t>
            </m:r>
          </m:e>
          <m:sub>
            <m:r>
              <m:t>st</m:t>
            </m:r>
          </m:sub>
        </m:sSub>
        <m:r>
          <m:t>)=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+</m:t>
        </m:r>
        <m:sSub>
          <m:e>
            <m:r>
              <m:t>δ</m:t>
            </m:r>
          </m:e>
          <m:sub>
            <m:r>
              <m:t>t</m:t>
            </m:r>
          </m:sub>
        </m:sSub>
        <m:r>
          <m:t>+β·</m:t>
        </m:r>
        <m:sSub>
          <m:e>
            <m:r>
              <m:rPr>
                <m:nor/>
              </m:rPr>
              <m:t>litrate</m:t>
            </m:r>
          </m:e>
          <m:sub>
            <m:r>
              <m:t>s,t−1</m:t>
            </m:r>
          </m:sub>
        </m:sSub>
        <m:r>
          <m:t>+</m:t>
        </m:r>
        <m:sSub>
          <m:e>
            <m:r>
              <m:t>δ</m:t>
            </m:r>
          </m:e>
          <m:sub>
            <m:r>
              <m:t>g</m:t>
            </m:r>
          </m:sub>
        </m:sSub>
        <m:r>
          <m:t>·(</m:t>
        </m:r>
        <m:sSub>
          <m:e>
            <m:r>
              <m:rPr>
                <m:nor/>
              </m:rPr>
              <m:t>litrate</m:t>
            </m:r>
          </m:e>
          <m:sub>
            <m:r>
              <m:t>s,t−1</m:t>
            </m:r>
          </m:sub>
        </m:sSub>
        <m:r>
          <m:t>×</m:t>
        </m:r>
        <m:sSub>
          <m:e>
            <m:r>
              <m:rPr>
                <m:nor/>
              </m:rPr>
              <m:t>Group</m:t>
            </m:r>
          </m:e>
          <m:sub>
            <m:r>
              <m:t>s</m:t>
            </m:r>
          </m:sub>
        </m:sSub>
        <m:r>
          <m:t>)+</m:t>
        </m:r>
        <m:sSub>
          <m:e>
            <m:r>
              <m:t>ϵ</m:t>
            </m:r>
          </m:e>
          <m:sub>
            <m:r>
              <m:t>st</m:t>
            </m:r>
          </m:sub>
        </m:sSub>
      </m:oMath>
    </w:p>
    <w:p>
      <w:pPr>
        <w:spacing w:line="480" w:lineRule="auto" w:after="120"/>
      </w:pPr>
      <m:oMath xmlns:mml="http://www.w3.org/1998/Math/MathML">
        <m:sSub>
          <m:e>
            <m:r>
              <m:rPr>
                <m:nor/>
              </m:rPr>
              <m:t>Group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  <w:sz w:val="24"/>
        </w:rPr>
        <w:t xml:space="preserve"> is either high-litigation (above the median specialty mean lagged litigation rate) or surgical (surgery, orthopaedics, obstetrics and gynaecology, urology). The main effect of </w:t>
      </w:r>
      <m:oMath xmlns:mml="http://www.w3.org/1998/Math/MathML">
        <m:r>
          <m:rPr>
            <m:nor/>
          </m:rPr>
          <m:t>Group</m:t>
        </m:r>
      </m:oMath>
      <w:r>
        <w:rPr>
          <w:rFonts w:ascii="Times New Roman" w:hAnsi="Times New Roman"/>
          <w:sz w:val="24"/>
        </w:rPr>
        <w:t xml:space="preserve"> is absorbed by the specialty fixed effects and is omitted. A separate stability check added specialty-specific linear trends, </w:t>
      </w:r>
      <w:r>
        <w:rPr>
          <w:rFonts w:ascii="Times New Roman" w:hAnsi="Times New Roman"/>
          <w:i/>
          <w:sz w:val="24"/>
        </w:rPr>
        <w:t>C(specialty) x year</w:t>
      </w:r>
      <w:r>
        <w:rPr>
          <w:rFonts w:ascii="Times New Roman" w:hAnsi="Times New Roman"/>
          <w:sz w:val="24"/>
        </w:rPr>
        <w:t>, to the baseline specification.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Sensitivity-analysis framework for evaluating malpractice-litigation risk as a healthcare workforce-allocation instrument.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89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9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Closed malpractice claims per 1,000 physicians by specialty, 2008-2024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3.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2015-2024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2008-2018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facility-count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facility-count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5. Holm step-down adjusted p-values for the exploratory sensitivity tests and the JOCS-CP indicator.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Raw 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Holm-adjusted 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physician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hospital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0.250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COUNTS contrast: physician growth ~ lagged litigation COUNT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0.506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Annual hospital growth ~ lagged litigation rate (2008-2024)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SENSITIVITY interpolated-annual physician growth ~ lag rate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(JMSR report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(media count)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0.209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(high-litigation) physician growth ~ lagged litigation rate (main effect)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0.269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(high-litigation) physician growth ~ lagged litigation rate (interaction)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(surgical) physician growth ~ lagged litigation rate (main effect)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0.239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(surgical) physician growth ~ lagged litigation rate (interaction)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0.391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(high-litigation) hospital growth ~ lagged litigation rate (main effect)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0.988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(high-litigation) hospital growth ~ lagged litigation rate (interaction)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0.928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(surgical) hospital growth ~ lagged litigation rate (main effect)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0.124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Heterogeneity (surgical) hospital growth ~ lagged litigation rate (interaction)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Trend robustness: physician growth ~ lagged litigation rate + specialty trends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Trend robustness: hospital growth ~ lagged litigation rate + specialty trends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6. Cluster block-bootstrap p-values, percentile 95% confidence intervals, equivalence power (if true effect is zero), and minimum detectable effect per 1-SD litigation-rate increase.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95%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Equivalence 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Power if true null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MDE (80% power)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100.0%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90.4%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+/-2%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99.6%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7. Counterfactual 2034 physician counts by specialty and policy instrument. Counts are projected from observed biennial baseline drift plus the indicated effect; marginal percentage changes are shown in Figure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Specialty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2024 count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Baseline 2034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Litigation zero (point)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Litigation zero (95% lower)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MDE benchmark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Internal medicine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124,010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136,909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138,010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142,075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144,492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26,885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26,299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26,853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28,960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27,755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Orthopaedics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22,630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24,848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25,346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27,239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26,224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Plastic 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5,074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7,874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8,177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9,376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8,310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Obstetrics &amp; gynaecology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13,908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14,877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15,191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16,387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15,700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Paediatrics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18,009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19,949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20,295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21,054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Psychiatry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17,259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20,199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20,391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21,102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21,317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Ophthalmology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13,436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13,957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14,058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14,430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14,730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Otolaryngology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9,460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9,520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9,744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9,984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Urology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8,069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9,333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9,425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9,766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9,849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Dermatology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10,043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11,411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11,479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11,732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12,042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Anaesthesiology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10,628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13,699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13,745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13,915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14,458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All specialties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279,281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308,815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312,218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325,021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325,915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8. Specialist-trainee coverage by specialty. Coverage is the number of 2018 first-year specialist trainees divided by the number of physicians reported 3-5 years after medical registration in 2014, by primary specialty.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Specialty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2018 specialist trainees (senkoi)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Physicians 3-5 yr after registration (2014)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H24 cohort 3rd year (2012)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H24 cohort 5th year (2014)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Coverage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Internal medicine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2,670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21,536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2,630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2,621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12.4%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805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735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81.7%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Orthopaedics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552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2,291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457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472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24.1%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Plastic surgery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163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148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51.4%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Obstetrics &amp; gynaecology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441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1,383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342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31.9%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Paediatrics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7,950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447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433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7.2%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Psychiatry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441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637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354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69.2%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Ophthalmology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1,051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31.2%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Otolaryngology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617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43.3%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Urology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568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194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48.2%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Dermatology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271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1,405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228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210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19.3%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Anaesthesiology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495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1,091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378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385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45.4%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9. Heterogeneity and trend-stability checks. High-litigation and surgical models include an interaction between the lagged litigation rate and a binary group indicator (the main effect of the group is absorbed by specialty fixed effects). The trend-stability model adds specialty-specific linear time trends.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Group / check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Main coefficient (SE)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Interaction coefficient (SE)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High litigation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+0.0098 (+0.0084)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0.27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-0.0119 (+0.0096)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Surgical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-0.0045 (+0.0037)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+0.0057 (+0.0064)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High litigation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-0.0001 (+0.0034)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+0.0004 (+0.0043)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Surgical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+0.0044 (+0.0027)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0.12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-0.0066 (+0.0032)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0.06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Specialty trends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+0.0010 (+0.0028)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0.73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--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--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Specialty trends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+0.0027 (+0.0016)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--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--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96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STROBE checklist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STROBE checklist for observational cohort studies.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Reported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Title and abstract indicate the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Background and rationale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Specific objectives and hypotheses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Key elements of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sources, locations and dates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Eligibility and selection criteria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Definitions of outcomes, exposures and predictors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 and measurement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Discussion of potential sources of bias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Explanation of study size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Quantitative variables: grouping and transformations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Description of all statistical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Numbers of participants at each stage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characteristics of participants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 data for each exposure category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Main results with measures of uncertainty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Other analyses (sensitivity and subgroup)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Summary of key results with reference to objectives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Limitations of bias and imprecision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Cautious overall interpretation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Generalisability to other populations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Registration, protocol, funding, data and code availability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