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[Date]</w:t>
      </w:r>
    </w:p>
    <w:p/>
    <w:p>
      <w:r>
        <w:rPr>
          <w:rFonts w:ascii="Times New Roman" w:hAnsi="Times New Roman"/>
          <w:sz w:val="24"/>
        </w:rPr>
        <w:t>Professor Susan J. Elliott, PhD</w:t>
      </w:r>
    </w:p>
    <w:p>
      <w:r>
        <w:rPr>
          <w:rFonts w:ascii="Times New Roman" w:hAnsi="Times New Roman"/>
          <w:sz w:val="24"/>
        </w:rPr>
        <w:t>Editor-in-Chief</w:t>
      </w:r>
    </w:p>
    <w:p>
      <w:r>
        <w:rPr>
          <w:rFonts w:ascii="Times New Roman" w:hAnsi="Times New Roman"/>
          <w:sz w:val="24"/>
        </w:rPr>
        <w:t>Social Science &amp; Medicine</w:t>
      </w:r>
    </w:p>
    <w:p>
      <w:r>
        <w:rPr>
          <w:rFonts w:ascii="Times New Roman" w:hAnsi="Times New Roman"/>
          <w:sz w:val="24"/>
        </w:rPr>
        <w:t>Elsevier</w:t>
      </w:r>
    </w:p>
    <w:p/>
    <w:p>
      <w:r>
        <w:rPr>
          <w:rFonts w:ascii="Times New Roman" w:hAnsi="Times New Roman"/>
          <w:sz w:val="24"/>
        </w:rPr>
        <w:t>Dear Professor Elliott,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We submit an original research article, "Malpractice litigation risk and physician specialty supply in Japan: a national panel study", for consideration by Social Science &amp; Medicine.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Social Science &amp; Medicine provides an international interdisciplinary forum for research on health, and our study informs a central health-policy and workforce-planning question: whether malpractice litigation risk shapes the distribution of physicians across specialties. Using national administrative data from Japan, we find no association between specialty-level litigation risk and physician or hospital supply, and we bound any effect within a small equivalence margin.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paper makes three contributions. First, it shows how two common observational fallacies -- size confounding in raw administrative counts and interpolation of sparse panel data -- can distort evidence on litigation-workforce relationships. Second, it combines fixed-effects panel methods, equivalence testing, cluster block-bootstrap and power diagnostics to produce an informative null result rather than a mere failure to reject the null. Third, it interprets the null through the lens of institutional and behavioural mechanisms -- availability, loss aversion and status-quo bias -- that explain why perceived risk can be high while aggregate workforce response remains negligible.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national administrative data come from Japan, a setting that provides a complete, long-running test case. The analysis is fully reproducible from openly available primary files and code in the project repository ([anonymous GitHub repository URL to be supplied]). We believe the manuscript will be of interest to health economists, health-policy scholars, and social-science researchers concerned with how risk, institutions and incentives shape workforce behaviour. We suggest the Health Policy office as the most appropriate handling office.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work is original, is not under consideration elsewhere, and all authors approve the submission. We declare no conflicts of interest.</w:t>
      </w:r>
    </w:p>
    <w:p>
      <w:r>
        <w:rPr>
          <w:rFonts w:ascii="Times New Roman" w:hAnsi="Times New Roman"/>
          <w:sz w:val="24"/>
        </w:rPr>
        <w:t>Sincerely,</w:t>
      </w:r>
    </w:p>
    <w:p/>
    <w:p>
      <w:r>
        <w:rPr>
          <w:rFonts w:ascii="Times New Roman" w:hAnsi="Times New Roman"/>
          <w:sz w:val="24"/>
        </w:rPr>
        <w:t>[Corresponding author, on behalf of all authors]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