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Malpractice litigation risk and physician specialty supply in Japan: a national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Rationale: Specialty maldistribution is a persistent health-workforce problem, and malpractice litigation is widely assumed to push physicians away from high-risk specialties. Objective: To test whether specialty-level malpractice-litigation risk predicts subsequent physician supply and hospital facility counts in Japan. Methods: We used national administrative data for 12 clinical specialties from 2008 to 2024. Exposure was malpractice claims per 1,000 physicians; outcomes were biennial log-changes in physician counts and annual log-changes in hospital facility counts. We estimated specialty-and-wave fixed-effects panels with clustered standard errors and applied two one-sided equivalence tests with pre-specified margins of +/-1% and +/-2%. Results: The lagged litigation rate was not associated with physician growth (coefficient -0.0009; 95% CI -0.0043 to +0.0025; p=0.56; n=96) or facility-count growth (p=0.90; n=96). Equivalence testing showed that a one-SD higher rate shifted physician growth by less than +/-1% (TOST p=0.023; point estimate -0.21%; 90% CI -0.84% to +0.42%). Conclusions: Malpractice litigation risk does not appear to drive aggregate specialty maldistribution in Japan. Structural incentives remain more promising policy levers for rebalancing the workforce.</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health policy; Japan; equivalence testing</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health-workforce problem across high-income health systems. High-acuity fields such as surgery, obstetrics and gynaecology, paediatrics and anaesthesiology are widely perceived as understaffed, with large regional and specialty-level imbalances. (Matsumoto et al., 2010) A recurring policy intuition -- and a common media narrative --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From a social-science perspective, however, the link between risk and career choice is mediated by institutional context. Rare but salient adverse events come readily to mind, especially when they are covered in the media, and loss aversion can cause a low-probability outcome to be overweighted in career deliberations. (Tversky and Kahneman, 1973; Kahneman and Tversky, 1979) At the same time, the decision to enter, remain in,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in a health system that structures the returns to and costs of specialty choice.</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We address these pitfalls with an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i w:val="0"/>
          <w:sz w:val="24"/>
        </w:rPr>
        <w:t xml:space="preserve">Here, </w:t>
      </w:r>
      <w:r>
        <w:rPr>
          <w:rFonts w:ascii="Times New Roman" w:hAnsi="Times New Roman"/>
          <w:i/>
          <w:sz w:val="24"/>
        </w:rPr>
        <w:t>Y</w:t>
      </w:r>
      <w:r>
        <w:rPr>
          <w:rFonts w:ascii="Times New Roman" w:hAnsi="Times New Roman"/>
          <w:i w:val="0"/>
          <w:sz w:val="24"/>
        </w:rPr>
        <w:t xml:space="preserve"> is either physician counts or hospital facility counts; </w:t>
      </w:r>
      <m:oMath xmlns:mml="http://www.w3.org/1998/Math/MathML">
        <m:sSub>
          <m:e>
            <m:r>
              <m:t>α</m:t>
            </m:r>
          </m:e>
          <m:sub>
            <m:r>
              <m:t>s</m:t>
            </m:r>
          </m:sub>
        </m:sSub>
      </m:oMath>
      <w:r>
        <w:rPr>
          <w:rFonts w:ascii="Times New Roman" w:hAnsi="Times New Roman"/>
          <w:i w:val="0"/>
          <w:sz w:val="24"/>
        </w:rPr>
        <w:t xml:space="preserve"> denotes specialty fixed effects, </w:t>
      </w:r>
      <m:oMath xmlns:mml="http://www.w3.org/1998/Math/MathML">
        <m:sSub>
          <m:e>
            <m:r>
              <m:t>δ</m:t>
            </m:r>
          </m:e>
          <m:sub>
            <m:r>
              <m:t>t</m:t>
            </m:r>
          </m:sub>
        </m:sSub>
      </m:oMath>
      <w:r>
        <w:rPr>
          <w:rFonts w:ascii="Times New Roman" w:hAnsi="Times New Roman"/>
          <w:i w:val="0"/>
          <w:sz w:val="24"/>
        </w:rPr>
        <w:t xml:space="preserve"> wave fixed effects, </w:t>
      </w:r>
      <m:oMath xmlns:mml="http://www.w3.org/1998/Math/MathML">
        <m:r>
          <m:t>β</m:t>
        </m:r>
      </m:oMath>
      <w:r>
        <w:rPr>
          <w:rFonts w:ascii="Times New Roman" w:hAnsi="Times New Roman"/>
          <w:i w:val="0"/>
          <w:sz w:val="24"/>
        </w:rPr>
        <w:t xml:space="preserve"> is the coefficient on the litigation rate, </w:t>
      </w:r>
      <m:oMath xmlns:mml="http://www.w3.org/1998/Math/MathML">
        <m:r>
          <m:t>γ</m:t>
        </m:r>
      </m:oMath>
      <w:r>
        <w:rPr>
          <w:rFonts w:ascii="Times New Roman" w:hAnsi="Times New Roman"/>
          <w:i w:val="0"/>
          <w:sz w:val="24"/>
        </w:rPr>
        <w:t xml:space="preserve"> is the coefficient on the JOCS-CP indicator, and </w:t>
      </w:r>
      <m:oMath xmlns:mml="http://www.w3.org/1998/Math/MathML">
        <m:sSub>
          <m:e>
            <m:r>
              <m:t>ϵ</m:t>
            </m:r>
          </m:e>
          <m:sub>
            <m:r>
              <m:t>st</m:t>
            </m:r>
          </m:sub>
        </m:sSub>
      </m:oMath>
      <w:r>
        <w:rPr>
          <w:rFonts w:ascii="Times New Roman" w:hAnsi="Times New Roman"/>
          <w:i w:val="0"/>
          <w:sz w:val="24"/>
        </w:rPr>
        <w:t xml:space="preserve"> is the error term. Standard errors are clustered by specialty. For the equivalence analysis we standardised </w:t>
      </w:r>
      <w:r>
        <w:rPr>
          <w:rFonts w:ascii="Times New Roman" w:hAnsi="Times New Roman"/>
          <w:i/>
          <w:sz w:val="24"/>
        </w:rPr>
        <w:t>litrate</w:t>
      </w:r>
      <w:r>
        <w:rPr>
          <w:rFonts w:ascii="Times New Roman" w:hAnsi="Times New Roman"/>
          <w:i w:val="0"/>
          <w:sz w:val="24"/>
        </w:rPr>
        <w:t xml:space="preserve"> to a z-score, so </w:t>
      </w:r>
      <m:oMath xmlns:mml="http://www.w3.org/1998/Math/MathML">
        <m:r>
          <m:t>β</m:t>
        </m:r>
      </m:oMath>
      <w:r>
        <w:rPr>
          <w:rFonts w:ascii="Times New Roman" w:hAnsi="Times New Roman"/>
          <w:i w:val="0"/>
          <w:sz w:val="24"/>
        </w:rPr>
        <w:t xml:space="preserve">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given in Supplementary Note 1.</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spacing w:before="280"/>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Pr>
        <w:spacing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before="280"/>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before="28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physician effects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Supplementary Table 7; Figure 4 summarises the same information as marginal percentage changes. Litigation reduction is not a high-impact instrument for workforce allocation in this setting.</w:t>
      </w:r>
    </w:p>
    <w:p>
      <w:pPr>
        <w:spacing w:before="280"/>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4. Counterfactual policy simulation: marginal 10-year change in physician counts by specialty relative to the projected baseline drift. The MDE benchmark is the minimum detectable per-SD effect from the primary analysis.</w:t>
      </w:r>
    </w:p>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specialty choice in Japan; Supplementary Table 8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and hospital facility-count growth. Equivalence testing showed that any effect of litigation risk on biennial physician growth is smaller than +/-1% (90% CI within the +/-1% margin), and the effect on hospital facility-count growth is bounded within the pre-specified +/-2% margin. These data do not support the assumption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health policy and medical sociology, this is an important distinction: a widely discussed risk can be salient without being a reliable policy lever. The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Interpretation in institutional context</w:t>
      </w:r>
    </w:p>
    <w:p>
      <w:pPr>
        <w:spacing w:line="480" w:lineRule="auto" w:after="120"/>
      </w:pPr>
      <w:r>
        <w:rPr>
          <w:rFonts w:ascii="Times New Roman" w:hAnsi="Times New Roman"/>
          <w:b w:val="0"/>
          <w:i w:val="0"/>
          <w:sz w:val="24"/>
        </w:rPr>
        <w:t>Several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 mechanisms. Media coverage of sensational malpractice or criminal prosecutions keeps litigation risk salient in memory for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but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health policy, the lesson is that changing the perceived risk alone is unlikely to alter aggregate workforce allocation when the underlying choice architecture preserves strong structural incentives to remain. Once a physician has incurred the sunk cost of specialty training, status-quo bias and loss aversion make leaving feel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Legal and international context</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muted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policy lesson is that governments should redesign the choice architecture -- payment, training slots and compensation rules -- rather than expect litigation-avoidance messaging to drive career decisions. Our results are consistent with the interpretation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Malpractice litigation is not a reliable policy lever for correcting specialty maldistribution in this setting. Policymakers may more productively target structural incentives, especially no-fault compensation and payment design, than rely on the assumption that reducing litigation will retain physicians in high-risk specialties. The transparent, reproducible sensitivity-analysis framework used here is exportable to other healthcare workforce-policy questions. More generally, the results caution against treating salient risks as policy instruments when the underlying institutional context preserves strong structural incentives.</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