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STROBE Statement — checklist of items for observational studies (ecological specialty-level panel)</w:t>
      </w:r>
    </w:p>
    <w:p>
      <w:pPr>
        <w:jc w:val="center"/>
      </w:pPr>
      <w:r>
        <w:rPr>
          <w:i/>
          <w:sz w:val="20"/>
        </w:rPr>
        <w:t>Malpractice litigation, physician supply and service capacity in Japan, 2008–2024: a national equivalence analysis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680"/>
        <w:gridCol w:w="4535"/>
        <w:gridCol w:w="3402"/>
      </w:tblGrid>
      <w:tr>
        <w:tc>
          <w:tcPr>
            <w:tcW w:type="dxa" w:w="2409"/>
          </w:tcPr>
          <w:p>
            <w:r/>
            <w:r>
              <w:rPr>
                <w:rFonts w:ascii="Times New Roman" w:hAnsi="Times New Roman"/>
                <w:b/>
                <w:sz w:val="18"/>
              </w:rPr>
              <w:t>Section/Topic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/>
                <w:sz w:val="18"/>
              </w:rPr>
              <w:t>Item No.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/>
                <w:sz w:val="18"/>
              </w:rPr>
              <w:t>Recommendation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/>
                <w:b/>
                <w:sz w:val="18"/>
              </w:rPr>
              <w:t>Reported on page/section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18"/>
              </w:rPr>
              <w:t>Title and abstract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18"/>
              </w:rPr>
              <w:t>(a) Indicate the study’s design with a commonly used term in the title or abstract</w:t>
              <w:br/>
              <w:t>(b) Provide in the abstract an informative and balanced summary of what was done and what was found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18"/>
              </w:rPr>
              <w:t>(a) Title ("a national equivalence analysis"); Abstract (Observational specialty-level panel)</w:t>
              <w:br/>
              <w:t>(b) Structured abstract (Objectives, Methods, Results, Conclusions)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b/>
                <w:sz w:val="18"/>
              </w:rPr>
              <w:t>Introduction</w:t>
            </w:r>
          </w:p>
        </w:tc>
        <w:tc>
          <w:tcPr>
            <w:tcW w:type="dxa" w:w="680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18"/>
              </w:rPr>
              <w:t>Background/rationale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18"/>
              </w:rPr>
              <w:t>Explain the scientific background and rationale for the investigation being reported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18"/>
              </w:rPr>
              <w:t>Introduction, paragraphs 1–5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18"/>
              </w:rPr>
              <w:t>Objectives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18"/>
              </w:rPr>
              <w:t>State specific objectives, including any prespecified hypotheses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18"/>
              </w:rPr>
              <w:t>Introduction, final paragraph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b/>
                <w:sz w:val="18"/>
              </w:rPr>
              <w:t>Methods</w:t>
            </w:r>
          </w:p>
        </w:tc>
        <w:tc>
          <w:tcPr>
            <w:tcW w:type="dxa" w:w="680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18"/>
              </w:rPr>
              <w:t>Study design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18"/>
              </w:rPr>
              <w:t>Present key elements of study design early in the paper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18"/>
              </w:rPr>
              <w:t>Methods: Data sources, first paragraph (ecological specialty-level panel, 12 specialties, 2008–2024, nine biennial waves)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18"/>
              </w:rPr>
              <w:t>Setting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18"/>
              </w:rPr>
              <w:t>Describe the setting, locations, and relevant dates, including periods of data collection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18"/>
              </w:rPr>
              <w:t>Methods: Data sources (Japan, national administrative series, 2008–2024)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18"/>
              </w:rPr>
              <w:t>Participants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18"/>
              </w:rPr>
              <w:t>Give the eligibility criteria, and the sources and methods of selection of participants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18"/>
              </w:rPr>
              <w:t>Methods: Data sources (12 core clinical specialties for which the Supreme Court reports specialty-specific litigation); Supplementary Table 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18"/>
              </w:rPr>
              <w:t>Variables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18"/>
              </w:rPr>
              <w:t>Clearly define all outcomes, exposures, predictors, potential confounders, and effect modifiers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18"/>
              </w:rPr>
              <w:t>Methods: Data sources and Statistical analysis (litigation rate exposure; physician and hospital growth outcomes; JOCS-CP indicator)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18"/>
              </w:rPr>
              <w:t>Data sources/measurement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18"/>
              </w:rPr>
              <w:t>For each variable of interest, give sources of data and details of methods of assessment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18"/>
              </w:rPr>
              <w:t>Methods: Data sources (MHLW Statistics of Physicians; Supreme Court closed claims; Survey of Medical Institutions; JMSR; Nikkei Telecom); Supplementary Table 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18"/>
              </w:rPr>
              <w:t>Bias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18"/>
              </w:rPr>
              <w:t>Describe any efforts to address potential sources of bias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18"/>
              </w:rPr>
              <w:t>Methods (rate-based exposure to remove specialty-size confounding; measured waves only; cluster-robust inference); Results (confounder-adjusted sensitivity models); Limitations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18"/>
              </w:rPr>
              <w:t>Study size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18"/>
              </w:rPr>
              <w:t>Explain how the study size was arrived at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18"/>
              </w:rPr>
              <w:t>Methods: Data sources (all specialties with specialty-specific litigation statistics; all measured waves used)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18"/>
              </w:rPr>
              <w:t>Quantitative variables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18"/>
              </w:rPr>
              <w:t>Explain how quantitative variables were handled in the analyses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18"/>
              </w:rPr>
              <w:t>Methods: Statistical analysis (biennial log-change; standardised litigation rate; equivalence margins)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18"/>
              </w:rPr>
              <w:t>Statistical methods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18"/>
              </w:rPr>
              <w:t>(a) Describe all statistical methods</w:t>
              <w:br/>
              <w:t>(b) Describe any methods used to examine subgroups and interactions</w:t>
              <w:br/>
              <w:t>(c) Explain how missing data were addressed</w:t>
              <w:br/>
              <w:t>(d) If applicable, describe analytical methods taking account of sampling strategy</w:t>
              <w:br/>
              <w:t>(e) Describe any sensitivity analyses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18"/>
              </w:rPr>
              <w:t>(a) Methods: Statistical analysis (fixed-effects panel, clustered SEs, TOST equivalence testing)</w:t>
              <w:br/>
              <w:t>(b) No subgroup analyses</w:t>
              <w:br/>
              <w:t>(c) No missing data in the aggregate series analysed</w:t>
              <w:br/>
              <w:t>(d) Not applicable (population-level aggregate data)</w:t>
              <w:br/>
              <w:t>(e) Methods: Statistical analysis (annual hospital series, interpolated physician series, counts contrast, JMSR-adjusted and media-adjusted models)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b/>
                <w:sz w:val="18"/>
              </w:rPr>
              <w:t>Results</w:t>
            </w:r>
          </w:p>
        </w:tc>
        <w:tc>
          <w:tcPr>
            <w:tcW w:type="dxa" w:w="680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18"/>
              </w:rPr>
              <w:t>Participants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18"/>
              </w:rPr>
              <w:t>(a) Report numbers of individuals at each stage of study</w:t>
              <w:br/>
              <w:t>(b) Give reasons for non-participation at each stage</w:t>
              <w:br/>
              <w:t>(c) Consider use of a flow diagram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18"/>
              </w:rPr>
              <w:t>(a) 12 specialties, 96 specialty-wave observations (aggregate ecological data; no individual participants)</w:t>
              <w:br/>
              <w:t>(b) Not applicable</w:t>
              <w:br/>
              <w:t>(c) Not applicable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18"/>
              </w:rPr>
              <w:t>Descriptive data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18"/>
              </w:rPr>
              <w:t>(a) Give characteristics of study participants and information on exposures and potential confounders</w:t>
              <w:br/>
              <w:t>(b) Indicate the number of participants with missing data for each variable of interest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18"/>
              </w:rPr>
              <w:t>(a) Results: Workforce and litigation trends; Table 1; Supplementary Figures 1–2</w:t>
              <w:br/>
              <w:t>(b) No missing data in the analysed series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18"/>
              </w:rPr>
              <w:t>Outcome data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18"/>
              </w:rPr>
              <w:t>Report numbers of outcome events or summary measures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18"/>
              </w:rPr>
              <w:t>Results (biennial log-change in physicians and hospitals; Table 1)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18"/>
              </w:rPr>
              <w:t>Main results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18"/>
              </w:rPr>
              <w:t>(a) Give unadjusted estimates and, if applicable, confounder-adjusted estimates</w:t>
              <w:br/>
              <w:t>(b) Report category boundaries when continuous variables were categorised</w:t>
              <w:br/>
              <w:t>(c) If relevant, consider translating estimates of relative risk into absolute risk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18"/>
              </w:rPr>
              <w:t>(a) Results: Primary association and equivalence; Table 2 (coefficients, 95% CIs, p values, n)</w:t>
              <w:br/>
              <w:t>(b) Continuous variables not categorised</w:t>
              <w:br/>
              <w:t>(c) Effects expressed as percentage biennial workforce change per 1-SD litigation rate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18"/>
              </w:rPr>
              <w:t>Other analyses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18"/>
              </w:rPr>
              <w:t>Report other analyses done—e.g., analyses of subgroups and interactions, and sensitivity analyses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18"/>
              </w:rPr>
              <w:t>Results: sensitivity models (counts contrast, annual and interpolated series, JMSR and media adjustment, reverse specification); Supplementary Tables 2–4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b/>
                <w:sz w:val="18"/>
              </w:rPr>
              <w:t>Discussion</w:t>
            </w:r>
          </w:p>
        </w:tc>
        <w:tc>
          <w:tcPr>
            <w:tcW w:type="dxa" w:w="680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18"/>
              </w:rPr>
              <w:t>Key results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18"/>
              </w:rPr>
              <w:t>Summarise key results with reference to study objectives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18"/>
              </w:rPr>
              <w:t>Discussion, opening paragraphs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18"/>
              </w:rPr>
              <w:t>Limitations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18"/>
              </w:rPr>
              <w:t>Discuss limitations of the study, taking into account sources of potential bias or imprecision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18"/>
              </w:rPr>
              <w:t>Discussion: Limitations (ecological design, 12 clusters, equivalence-margin judgement, exposure proxy, Japan context)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18"/>
              </w:rPr>
              <w:t>Interpretation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18"/>
              </w:rPr>
              <w:t>Give a cautious overall interpretation of results considering objectives, limitations, multiplicity of analyses, results from similar studies, and other relevant evidence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18"/>
              </w:rPr>
              <w:t>Discussion (equivalence interpretation, international literature, exploratory JOCS-CP association)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18"/>
              </w:rPr>
              <w:t>Generalisability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18"/>
              </w:rPr>
              <w:t>Discuss the generalisability (external validity) of the study results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18"/>
              </w:rPr>
              <w:t>Discussion (Japan-specific setting; transferable research question; explicit limits to generalisation)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b/>
                <w:sz w:val="18"/>
              </w:rPr>
              <w:t>Other information</w:t>
            </w:r>
          </w:p>
        </w:tc>
        <w:tc>
          <w:tcPr>
            <w:tcW w:type="dxa" w:w="680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18"/>
              </w:rPr>
              <w:t>Funding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18"/>
              </w:rPr>
              <w:t>Give the source of funding and the role of the funders for the present study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18"/>
              </w:rPr>
              <w:t>Title page: Statements and Declarations – Funding (no financial support received)</w:t>
            </w:r>
          </w:p>
        </w:tc>
      </w:tr>
    </w:tbl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