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6 October 2026</w:t>
      </w:r>
    </w:p>
    <w:p/>
    <w:p>
      <w:r>
        <w:rPr>
          <w:rFonts w:ascii="Times New Roman" w:hAnsi="Times New Roman"/>
          <w:sz w:val="24"/>
        </w:rPr>
        <w:t>The Editors</w:t>
      </w:r>
    </w:p>
    <w:p>
      <w:r>
        <w:rPr>
          <w:rFonts w:ascii="Times New Roman" w:hAnsi="Times New Roman"/>
          <w:sz w:val="24"/>
        </w:rPr>
        <w:t>The International Journal of Health Planning and Management</w:t>
      </w:r>
    </w:p>
    <w:p/>
    <w:p>
      <w:r>
        <w:rPr>
          <w:rFonts w:ascii="Times New Roman" w:hAnsi="Times New Roman"/>
          <w:sz w:val="24"/>
        </w:rPr>
        <w:t>Dear Editors,</w:t>
      </w:r>
    </w:p>
    <w:p>
      <w:pPr>
        <w:spacing w:after="160" w:line="360" w:lineRule="auto"/>
      </w:pPr>
      <w:r>
        <w:rPr>
          <w:rFonts w:ascii="Times New Roman" w:hAnsi="Times New Roman"/>
          <w:sz w:val="22"/>
        </w:rPr>
        <w:t>Please consider the Research Article "Malpractice litigation, physician supply and service capacity in Japan, 2008–2024: a national equivalence analysis" for publication in The International Journal of Health Planning and Management. We suggest Theme 3 (Global health, health planning and interventions) as the most suitable editorial theme.</w:t>
      </w:r>
    </w:p>
    <w:p>
      <w:pPr>
        <w:spacing w:after="160" w:line="360" w:lineRule="auto"/>
      </w:pPr>
      <w:r>
        <w:rPr>
          <w:rFonts w:ascii="Times New Roman" w:hAnsi="Times New Roman"/>
          <w:sz w:val="22"/>
        </w:rPr>
        <w:t>Why this is a health-planning paper: health systems must allocate physician workforce and service capacity across specialties while many plausible determinants compete for policy attention. This study treats specialty-level physician supply and hospital service capacity as planning outcomes and evaluates malpractice-litigation exposure as one widely invoked candidate determinant. The question it asks—whether that determinant has an effect large enough to matter operationally—is a planning and policy question, not a medico-legal one.</w:t>
      </w:r>
    </w:p>
    <w:p>
      <w:pPr>
        <w:spacing w:after="160" w:line="360" w:lineRule="auto"/>
      </w:pPr>
      <w:r>
        <w:rPr>
          <w:rFonts w:ascii="Times New Roman" w:hAnsi="Times New Roman"/>
          <w:sz w:val="22"/>
        </w:rPr>
        <w:t>What this study adds: using national administrative data for 12 clinical specialties over 2008–2024, the analysis expresses exposure as a rate (closed claims per 1,000 physicians) to remove specialty-size confounding, analyses only the measured biennial physician census waves rather than an interpolated annual series, and applies two one-sided (TOST) equivalence testing. The contribution goes beyond a non-significant association. Equivalence testing places an empirical bound on the plausible magnitude of the litigation–workforce relationship, showing that any specialty-level physician-supply association lies within a small, policy-relevant range (±1% biennial change per 1-SD litigation rate) unlikely to account for workforce change of practical relevance in this setting.</w:t>
      </w:r>
    </w:p>
    <w:p>
      <w:pPr>
        <w:spacing w:after="160" w:line="360" w:lineRule="auto"/>
      </w:pPr>
      <w:r>
        <w:rPr>
          <w:rFonts w:ascii="Times New Roman" w:hAnsi="Times New Roman"/>
          <w:sz w:val="22"/>
        </w:rPr>
        <w:t>Why this journal: HPM focuses on health planning, policy making and management and welcomes country-specific studies that advance understanding of the health sector. This paper pairs a substantive workforce-planning question with a methodological point—that equivalence-based inference can be more informative for planning than testing only for statistical departure from zero. The estimate is country-specific, but the research question transfers directly to other health systems weighing liability policy against workforce policy: country-specific estimates can inform international planning when they bound mechanisms that are often assumed, rather than measured, to influence workforce supply. The manuscript is written for readers who are not familiar with the Japanese system.</w:t>
      </w:r>
    </w:p>
    <w:p>
      <w:pPr>
        <w:spacing w:after="160" w:line="360" w:lineRule="auto"/>
      </w:pPr>
      <w:r>
        <w:rPr>
          <w:rFonts w:ascii="Times New Roman" w:hAnsi="Times New Roman"/>
          <w:sz w:val="22"/>
        </w:rPr>
        <w:t>What is known: malpractice pressure is often invoked to explain specialty maldistribution, but previous ecological and time-series claims have typically related raw counts of claims to raw counts of physicians, treated interpolated annual series as independent observations, and interpreted non-significant coefficients as evidence of no effect.</w:t>
      </w:r>
    </w:p>
    <w:p>
      <w:pPr>
        <w:spacing w:after="160" w:line="360" w:lineRule="auto"/>
      </w:pPr>
      <w:r>
        <w:rPr>
          <w:rFonts w:ascii="Times New Roman" w:hAnsi="Times New Roman"/>
          <w:sz w:val="22"/>
        </w:rPr>
        <w:t>The observational analysis is reported according to the STROBE statement; a completed checklist is uploaded with the submission. All data and code are openly available and every reported number is reproducible from the raw primary files in the accompanying repository. The work is original, has not been published elsewhere, is not under consideration elsewhere, and the author approves the submission. Declaration of conflicting interest: the author declared no potential conflicts of interest. Funding: none. Writing assistance: generative AI-assisted coding tools (Cognition Devin) were used for analysis code, figure generation and manuscript drafting, with full human review; they are not listed as authors.</w:t>
      </w:r>
    </w:p>
    <w:p>
      <w:pPr>
        <w:spacing w:after="160" w:line="360" w:lineRule="auto"/>
      </w:pPr>
      <w:r>
        <w:rPr>
          <w:rFonts w:ascii="Times New Roman" w:hAnsi="Times New Roman"/>
          <w:sz w:val="22"/>
        </w:rPr>
        <w:t>Corresponding author: Tatsuki Onishi, Data Science AI Innovation Research Promotion Center, Shiga University, 1-1-1 Bamba, Hikone, Shiga 522-8522, Japan. Email: bougtoir@gmail.com. ORCID iD: 0000-0001-7261-9062.</w:t>
      </w:r>
    </w:p>
    <w:p>
      <w:r>
        <w:rPr>
          <w:rFonts w:ascii="Times New Roman" w:hAnsi="Times New Roman"/>
          <w:sz w:val="24"/>
        </w:rPr>
        <w:t>Sincerely,</w:t>
      </w:r>
    </w:p>
    <w:p/>
    <w:p>
      <w:r>
        <w:rPr>
          <w:rFonts w:ascii="Times New Roman" w:hAnsi="Times New Roman"/>
          <w:sz w:val="24"/>
        </w:rPr>
        <w:t>Tatsuki Onishi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Arial"/>
        <a:font script="Hang" typeface="Arial"/>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Arial"/>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