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28"/>
        </w:rPr>
        <w:t>Malpractice litigation, physician supply and service capacity in Japan, 2008–2024: a national equivalence analysis</w:t>
      </w:r>
    </w:p>
    <w:p>
      <w:pPr>
        <w:pStyle w:val="Heading1"/>
      </w:pPr>
      <w:r>
        <w:rPr>
          <w:rFonts w:ascii="Times New Roman" w:hAnsi="Times New Roman"/>
          <w:color w:val="000000"/>
        </w:rPr>
        <w:t>Abstract</w:t>
      </w:r>
    </w:p>
    <w:p>
      <w:pPr>
        <w:spacing w:line="480" w:lineRule="auto" w:after="120"/>
      </w:pPr>
      <w:r>
        <w:rPr>
          <w:rFonts w:ascii="Times New Roman" w:hAnsi="Times New Roman"/>
          <w:sz w:val="24"/>
        </w:rPr>
        <w:t>Objectives: To quantify how much specialty-level malpractice-litigation exposure contributes to physician-supply and service-capacity change, and whether any association is large enough to matter for health-system workforce planning. Methods: Observational specialty-level panel of 12 clinical specialties in Japan, 2008–2024, drawing on national administrative data and nine measured biennial physician census waves. The exposure was the litigation rate (closed malpractice claims per 1,000 physicians). Biennial log-change in physicians and hospitals was regressed on the lagged litigation rate with specialty and wave fixed effects and cluster-robust standard errors; two one-sided tests (TOST) assessed equivalence to small specified margins. Results: Litigation exposure was not associated with physician growth (coefficient -0.0009; 95% CI -0.0043 to +0.0025; p=0.56) or hospital growth (p=0.90). A 1-SD higher litigation rate changed physician growth by less than ±1% (TOST p=0.023; point estimate -0.21%, 90% CI -0.84% to +0.42%) and hospital growth by less than ±2% (p=0.002); sensitivity analyses did not alter these conclusions. Conclusions: Equivalence testing constrained the plausible specialty-level effect of litigation to a range unlikely to account for workforce change large enough to drive planning in this setting; this ecological analysis cannot speak to individual career decisions.</w:t>
      </w:r>
    </w:p>
    <w:p>
      <w:pPr>
        <w:spacing w:after="360"/>
      </w:pPr>
      <w:r>
        <w:rPr>
          <w:rFonts w:ascii="Times New Roman" w:hAnsi="Times New Roman"/>
          <w:b/>
        </w:rPr>
        <w:t xml:space="preserve">Keywords: </w:t>
      </w:r>
      <w:r>
        <w:rPr>
          <w:rFonts w:ascii="Times New Roman" w:hAnsi="Times New Roman"/>
          <w:b w:val="0"/>
          <w:i w:val="0"/>
          <w:sz w:val="24"/>
        </w:rPr>
        <w:t>physician supply; malpractice litigation; equivalence testing; workforce planning; health policy; Japan</w:t>
      </w:r>
    </w:p>
    <w:p>
      <w:pPr>
        <w:pStyle w:val="Heading1"/>
      </w:pPr>
      <w:r>
        <w:rPr>
          <w:rFonts w:ascii="Times New Roman" w:hAnsi="Times New Roman"/>
          <w:color w:val="000000"/>
        </w:rPr>
        <w:t>Introduction</w:t>
      </w:r>
    </w:p>
    <w:p>
      <w:pPr>
        <w:spacing w:line="480" w:lineRule="auto" w:after="120"/>
      </w:pPr>
      <w:r>
        <w:rPr>
          <w:rFonts w:ascii="Times New Roman" w:hAnsi="Times New Roman"/>
          <w:b w:val="0"/>
          <w:i w:val="0"/>
          <w:sz w:val="24"/>
        </w:rPr>
        <w:t>Uneven distribution of physicians across specialties is a persistent problem for health-system capacity and workforce planning. In Japan, high-acuity fields such as surgery, obstetrics and gynaecology, paediatrics and emergency care are widely perceived as understaffed despite continued growth in the total physician supply,</w:t>
      </w:r>
      <w:r>
        <w:rPr>
          <w:rFonts w:ascii="Times New Roman" w:hAnsi="Times New Roman"/>
          <w:sz w:val="24"/>
          <w:vertAlign w:val="superscript"/>
        </w:rPr>
        <w:t>1</w:t>
      </w:r>
      <w:r>
        <w:rPr>
          <w:rFonts w:ascii="Times New Roman" w:hAnsi="Times New Roman"/>
          <w:b w:val="0"/>
          <w:i w:val="0"/>
          <w:sz w:val="24"/>
        </w:rPr>
        <w:t xml:space="preserve"> and similar specialty imbalances are debated in many other health systems. Identifying which structural determinants actually move specialty-level supply is therefore a health-services planning problem with direct relevance to how systems organise service capacity. The stakes are practical: if a proposed deterrent genuinely shifts specialty choice at scale, legal policy becomes a workforce instrument; if it does not, planning attention should move to other determinants.</w:t>
      </w:r>
    </w:p>
    <w:p>
      <w:pPr>
        <w:spacing w:line="480" w:lineRule="auto" w:after="120"/>
      </w:pPr>
      <w:r>
        <w:rPr>
          <w:rFonts w:ascii="Times New Roman" w:hAnsi="Times New Roman"/>
          <w:b w:val="0"/>
          <w:i w:val="0"/>
          <w:sz w:val="24"/>
        </w:rPr>
        <w:t>Malpractice-litigation risk is one commonly proposed deterrent. The argument is intuitive—physicians avoid fields where they are more likely to be sued—and is supported by surveys of perceived risk and defensive practice.</w:t>
      </w:r>
      <w:r>
        <w:rPr>
          <w:rFonts w:ascii="Times New Roman" w:hAnsi="Times New Roman"/>
          <w:sz w:val="24"/>
          <w:vertAlign w:val="superscript"/>
        </w:rPr>
        <w:t>2-3</w:t>
      </w:r>
      <w:r>
        <w:rPr>
          <w:rFonts w:ascii="Times New Roman" w:hAnsi="Times New Roman"/>
          <w:b w:val="0"/>
          <w:i w:val="0"/>
          <w:sz w:val="24"/>
        </w:rPr>
        <w:t xml:space="preserve"> Perceptions, defensive behaviour and actual specialty-level supply are, however, different outcomes; whether litigation exposure measurably shifts workforce supply is an empirical question, and one with an asymmetric information problem: a claimed deterrent that cannot be detected in aggregate supply may still absorb policy attention, while a genuinely absent deterrent can be kept on the agenda by anecdote alone.</w:t>
      </w:r>
    </w:p>
    <w:p>
      <w:pPr>
        <w:spacing w:line="480" w:lineRule="auto" w:after="120"/>
      </w:pPr>
      <w:r>
        <w:rPr>
          <w:rFonts w:ascii="Times New Roman" w:hAnsi="Times New Roman"/>
          <w:b w:val="0"/>
          <w:i w:val="0"/>
          <w:sz w:val="24"/>
        </w:rPr>
        <w:t>Three methodological problems complicate previous ecological and time-series claims. First, raw counts of claims and of physicians both scale with specialty size, so count-based associations can arise mechanically without any behavioural mechanism. Second, the Japanese physician census is biennial; interpolating it to an annual series does not create new independent information, yet treating interpolated years as observations inflates nominal degrees of freedom. Third, failing to reject a null hypothesis is not positive evidence that an effect is negligible—an underpowered null and a genuinely small effect are observationally equivalent under conventional testing.</w:t>
      </w:r>
    </w:p>
    <w:p>
      <w:pPr>
        <w:spacing w:line="480" w:lineRule="auto" w:after="120"/>
      </w:pPr>
      <w:r>
        <w:rPr>
          <w:rFonts w:ascii="Times New Roman" w:hAnsi="Times New Roman"/>
          <w:b w:val="0"/>
          <w:i w:val="0"/>
          <w:sz w:val="24"/>
        </w:rPr>
        <w:t>Equivalence testing addresses the policy question more directly. The relevant issue for workforce planning is not merely whether a litigation coefficient differs from zero, but whether litigation could plausibly produce supply changes large enough to matter. Two one-sided tests (TOST) can bound an effect within a specified margin and thus distinguish 'no evidence of an effect' from 'evidence against an effect of policy-relevant magnitude'.</w:t>
      </w:r>
      <w:r>
        <w:rPr>
          <w:rFonts w:ascii="Times New Roman" w:hAnsi="Times New Roman"/>
          <w:sz w:val="24"/>
          <w:vertAlign w:val="superscript"/>
        </w:rPr>
        <w:t>4-5</w:t>
      </w:r>
      <w:r>
        <w:rPr>
          <w:rFonts w:ascii="Times New Roman" w:hAnsi="Times New Roman"/>
          <w:b w:val="0"/>
          <w:i w:val="0"/>
          <w:sz w:val="24"/>
        </w:rPr>
        <w:t xml:space="preserve"> The approach is increasingly used in health-services research precisely because planners need to distinguish effects that are absent from effects that are merely unmeasured: an estimate bounded inside a small margin answers a different—and more useful—question than a non-significant p value.</w:t>
      </w:r>
    </w:p>
    <w:p>
      <w:pPr>
        <w:spacing w:line="480" w:lineRule="auto" w:after="120"/>
      </w:pPr>
      <w:r>
        <w:rPr>
          <w:rFonts w:ascii="Times New Roman" w:hAnsi="Times New Roman"/>
          <w:b w:val="0"/>
          <w:i w:val="0"/>
          <w:sz w:val="24"/>
        </w:rPr>
        <w:t>Japan offers a useful national setting for such a test: administrative statistics report closed malpractice claims by specialty, the national physician census and the facility survey cover all specialties over a 16-year window, and the Japan Obstetric Compensation System for Cerebral Palsy (JOCS-CP), a no-fault scheme launched in January 2009, provides institutional context for the specialty most often cited in this debate.</w:t>
      </w:r>
      <w:r>
        <w:rPr>
          <w:rFonts w:ascii="Times New Roman" w:hAnsi="Times New Roman"/>
          <w:sz w:val="24"/>
          <w:vertAlign w:val="superscript"/>
        </w:rPr>
        <w:t>6</w:t>
      </w:r>
      <w:r>
        <w:rPr>
          <w:rFonts w:ascii="Times New Roman" w:hAnsi="Times New Roman"/>
          <w:b w:val="0"/>
          <w:i w:val="0"/>
          <w:sz w:val="24"/>
        </w:rPr>
        <w:t xml:space="preserve"> Closed malpractice claims have declined over the study window, so the setting also tests whether a falling exposure is followed by workforce recovery in the most-affected specialties—a prediction the deterrent account makes but rarely has the opportunity to face.</w:t>
      </w:r>
    </w:p>
    <w:p>
      <w:pPr>
        <w:spacing w:line="480" w:lineRule="auto" w:after="120"/>
      </w:pPr>
      <w:r>
        <w:rPr>
          <w:rFonts w:ascii="Times New Roman" w:hAnsi="Times New Roman"/>
          <w:b w:val="0"/>
          <w:i w:val="0"/>
          <w:sz w:val="24"/>
        </w:rPr>
        <w:t>The transferable question is not specific to Japan: how should a health system evaluate a widely invoked workforce determinant when the decision that matters is whether its effect is large enough to be operationally relevant? We therefore aimed to (1) test the association between the lagged specialty-level litigation rate and biennial physician-supply change, (2) test whether any effect is statistically equivalent to a small, specified policy-relevant margin, and (3) examine the corresponding hospital (service-capacity) outcome and prespecified sensitivity analyses.</w:t>
      </w:r>
    </w:p>
    <w:p>
      <w:pPr>
        <w:pStyle w:val="Heading1"/>
      </w:pPr>
      <w:r>
        <w:rPr>
          <w:rFonts w:ascii="Times New Roman" w:hAnsi="Times New Roman"/>
          <w:color w:val="000000"/>
        </w:rPr>
        <w:t>Methods</w:t>
      </w:r>
    </w:p>
    <w:p>
      <w:pPr>
        <w:pStyle w:val="Heading2"/>
      </w:pPr>
      <w:r>
        <w:rPr>
          <w:rFonts w:ascii="Times New Roman" w:hAnsi="Times New Roman"/>
          <w:color w:val="000000"/>
        </w:rPr>
        <w:t>Data sources</w:t>
      </w:r>
    </w:p>
    <w:p>
      <w:pPr>
        <w:spacing w:line="480" w:lineRule="auto" w:after="120"/>
      </w:pPr>
      <w:r>
        <w:rPr>
          <w:rFonts w:ascii="Times New Roman" w:hAnsi="Times New Roman"/>
          <w:b w:val="0"/>
          <w:i w:val="0"/>
          <w:sz w:val="24"/>
        </w:rPr>
        <w:t>We report this observational study following the Strengthening the Reporting of Observational Studies in Epidemiology (STROBE) guidance.</w:t>
      </w:r>
      <w:r>
        <w:rPr>
          <w:rFonts w:ascii="Times New Roman" w:hAnsi="Times New Roman"/>
          <w:sz w:val="24"/>
          <w:vertAlign w:val="superscript"/>
        </w:rPr>
        <w:t>7</w:t>
      </w:r>
      <w:r>
        <w:rPr>
          <w:rFonts w:ascii="Times New Roman" w:hAnsi="Times New Roman"/>
          <w:b w:val="0"/>
          <w:i w:val="0"/>
          <w:sz w:val="24"/>
        </w:rPr>
        <w:t xml:space="preserve"> We studied 12 core clinical specialties for which the Supreme Court reports specialty-specific litigation. Three official primary series drove the main analysis: physician counts by specialty from the biennial Statistics of Physicians, Dentists and Pharmacists</w:t>
      </w:r>
      <w:r>
        <w:rPr>
          <w:rFonts w:ascii="Times New Roman" w:hAnsi="Times New Roman"/>
          <w:sz w:val="24"/>
          <w:vertAlign w:val="superscript"/>
        </w:rPr>
        <w:t>8</w:t>
      </w:r>
      <w:r>
        <w:rPr>
          <w:rFonts w:ascii="Times New Roman" w:hAnsi="Times New Roman"/>
          <w:b w:val="0"/>
          <w:i w:val="0"/>
          <w:sz w:val="24"/>
        </w:rPr>
        <w:t>; closed malpractice claims by specialty from the Supreme Court of Japan</w:t>
      </w:r>
      <w:r>
        <w:rPr>
          <w:rFonts w:ascii="Times New Roman" w:hAnsi="Times New Roman"/>
          <w:sz w:val="24"/>
          <w:vertAlign w:val="superscript"/>
        </w:rPr>
        <w:t>9</w:t>
      </w:r>
      <w:r>
        <w:rPr>
          <w:rFonts w:ascii="Times New Roman" w:hAnsi="Times New Roman"/>
          <w:b w:val="0"/>
          <w:i w:val="0"/>
          <w:sz w:val="24"/>
        </w:rPr>
        <w:t>; and hospital counts by specialty from the annual Survey of Medical Institutions</w:t>
      </w:r>
      <w:r>
        <w:rPr>
          <w:rFonts w:ascii="Times New Roman" w:hAnsi="Times New Roman"/>
          <w:sz w:val="24"/>
          <w:vertAlign w:val="superscript"/>
        </w:rPr>
        <w:t>10</w:t>
      </w:r>
      <w:r>
        <w:rPr>
          <w:rFonts w:ascii="Times New Roman" w:hAnsi="Times New Roman"/>
          <w:b w:val="0"/>
          <w:i w:val="0"/>
          <w:sz w:val="24"/>
        </w:rPr>
        <w:t>. Two sensitivity series were also used: annual medical accident investigation reports by specialty from the Japan Medical Safety Research Organisation (JMSR, 2015-2025)</w:t>
      </w:r>
      <w:r>
        <w:rPr>
          <w:rFonts w:ascii="Times New Roman" w:hAnsi="Times New Roman"/>
          <w:sz w:val="24"/>
          <w:vertAlign w:val="superscript"/>
        </w:rPr>
        <w:t>11</w:t>
      </w:r>
      <w:r>
        <w:rPr>
          <w:rFonts w:ascii="Times New Roman" w:hAnsi="Times New Roman"/>
          <w:b w:val="0"/>
          <w:i w:val="0"/>
          <w:sz w:val="24"/>
        </w:rPr>
        <w:t xml:space="preserve"> and total national newspaper article counts from Nikkei Telecom 21 (2009–2018; keywords: medical accident + medical malpractice).</w:t>
      </w:r>
      <w:r>
        <w:rPr>
          <w:rFonts w:ascii="Times New Roman" w:hAnsi="Times New Roman"/>
          <w:sz w:val="24"/>
          <w:vertAlign w:val="superscript"/>
        </w:rPr>
        <w:t>12</w:t>
      </w:r>
      <w:r>
        <w:rPr>
          <w:rFonts w:ascii="Times New Roman" w:hAnsi="Times New Roman"/>
          <w:b w:val="0"/>
          <w:i w:val="0"/>
          <w:sz w:val="24"/>
        </w:rPr>
        <w:t xml:space="preserve"> The full extraction pipeline (with source identifiers and SHA-256 checksums) is documented in the accompanying repository. The unit of analysis is the specialty–biennium: twelve specialties observed over nine measured census waves yield eight growth intervals per specialty (96 observations), with the exposure measured at the start of each interval so that litigation temporally precedes the outcome. Hospital counts are available annually and support a denser service-capacity panel over the same window.</w:t>
      </w:r>
    </w:p>
    <w:p>
      <w:pPr>
        <w:spacing w:line="480" w:lineRule="auto" w:after="120"/>
      </w:pPr>
      <w:r>
        <w:rPr>
          <w:rFonts w:ascii="Times New Roman" w:hAnsi="Times New Roman"/>
          <w:b w:val="0"/>
          <w:i w:val="0"/>
          <w:sz w:val="24"/>
        </w:rPr>
        <w:t>Physician counts use the principal-specialty classification; broad categories were matched to the Supreme Court's specialty labels, and subspecialties were aggregated in code. Because the Court assigns multi-specialty cases to a single principal specialty and states that the counts do not represent the intrinsic risk of each specialty, we treat litigation as an exposure signal rather than a measure of incident risk.</w:t>
      </w:r>
      <w:r>
        <w:rPr>
          <w:rFonts w:ascii="Times New Roman" w:hAnsi="Times New Roman"/>
          <w:sz w:val="24"/>
          <w:vertAlign w:val="superscript"/>
        </w:rPr>
        <w:t>9</w:t>
      </w:r>
      <w:r>
        <w:rPr>
          <w:rFonts w:ascii="Times New Roman" w:hAnsi="Times New Roman"/>
          <w:b w:val="0"/>
          <w:i w:val="0"/>
          <w:sz w:val="24"/>
        </w:rPr>
        <w:t xml:space="preserve"> We distinguish litigation from the Medical Accident Investigation System, which began in 2015 and covers only deaths and stillbirths judged unforeseen by the hospital administrator; it is not a general incident-reporting system and is not used as an exposure here.</w:t>
      </w:r>
      <w:r>
        <w:rPr>
          <w:rFonts w:ascii="Times New Roman" w:hAnsi="Times New Roman"/>
          <w:sz w:val="24"/>
          <w:vertAlign w:val="superscript"/>
        </w:rPr>
        <w:t>11</w:t>
      </w:r>
      <w:r>
        <w:rPr>
          <w:rFonts w:ascii="Times New Roman" w:hAnsi="Times New Roman"/>
          <w:b w:val="0"/>
          <w:i w:val="0"/>
          <w:sz w:val="24"/>
        </w:rPr>
        <w:t xml:space="preserve"> Primary data sources and their resolution are summarised in Supplementary Table 1.</w:t>
      </w:r>
    </w:p>
    <w:p>
      <w:pPr>
        <w:pStyle w:val="Heading2"/>
      </w:pPr>
      <w:r>
        <w:rPr>
          <w:rFonts w:ascii="Times New Roman" w:hAnsi="Times New Roman"/>
          <w:color w:val="000000"/>
        </w:rPr>
        <w:t>Statistical analysis</w:t>
      </w:r>
    </w:p>
    <w:p>
      <w:pPr>
        <w:spacing w:line="480" w:lineRule="auto" w:after="120"/>
      </w:pPr>
      <w:r>
        <w:rPr>
          <w:rFonts w:ascii="Times New Roman" w:hAnsi="Times New Roman"/>
          <w:b w:val="0"/>
          <w:i w:val="0"/>
          <w:sz w:val="24"/>
        </w:rPr>
        <w:t>The exposure was the litigation rate: closed claims per 1,000 physicians in each specialty-year. Scaling by the number of physicians removes the mechanical link between specialty size and claim counts.</w:t>
      </w:r>
    </w:p>
    <w:p>
      <w:pPr>
        <w:spacing w:before="0" w:after="120"/>
        <w:jc w:val="center"/>
      </w:pPr>
      <m:oMath>
        <m:sSub>
          <m:e>
            <m:r>
              <m:t>l</m:t>
            </m:r>
          </m:e>
          <m:sub>
            <m:r>
              <m:t>s,t</m:t>
            </m:r>
          </m:sub>
        </m:sSub>
        <m:r>
          <m:t> = (</m:t>
        </m:r>
        <m:f>
          <m:num>
            <m:sSub>
              <m:e>
                <m:r>
                  <m:t>C</m:t>
                </m:r>
              </m:e>
              <m:sub>
                <m:r>
                  <m:t>s,t</m:t>
                </m:r>
              </m:sub>
            </m:sSub>
          </m:num>
          <m:den>
            <m:sSub>
              <m:e>
                <m:r>
                  <m:t>P</m:t>
                </m:r>
              </m:e>
              <m:sub>
                <m:r>
                  <m:t>s,t</m:t>
                </m:r>
              </m:sub>
            </m:sSub>
          </m:den>
        </m:f>
        <m:r>
          <m:t>) × 1000</m:t>
        </m:r>
      </m:oMath>
    </w:p>
    <w:p>
      <w:pPr>
        <w:spacing w:line="480" w:lineRule="auto" w:after="120"/>
      </w:pPr>
      <w:r>
        <w:rPr>
          <w:rFonts w:ascii="Times New Roman" w:hAnsi="Times New Roman"/>
          <w:b w:val="0"/>
          <w:i w:val="0"/>
          <w:sz w:val="24"/>
        </w:rPr>
        <w:t>where C is the number of closed claims, P is the physician count, and s and t index specialties and years.</w:t>
      </w:r>
    </w:p>
    <w:p>
      <w:pPr>
        <w:spacing w:line="480" w:lineRule="auto" w:after="120"/>
      </w:pPr>
      <w:r>
        <w:rPr>
          <w:rFonts w:ascii="Times New Roman" w:hAnsi="Times New Roman"/>
          <w:b w:val="0"/>
          <w:i w:val="0"/>
          <w:sz w:val="24"/>
        </w:rPr>
        <w:t>The primary analysis used the 9 measured biennial physician waves (2008–2024). For each specialty we computed the biennial log-change in physician (or hospital) counts and regressed it on the litigation rate at the start of the interval, in a panel with specialty and wave fixed effects and standard errors clustered by specialty.</w:t>
      </w:r>
      <w:r>
        <w:rPr>
          <w:rFonts w:ascii="Times New Roman" w:hAnsi="Times New Roman"/>
          <w:sz w:val="24"/>
          <w:vertAlign w:val="superscript"/>
        </w:rPr>
        <w:t>13</w:t>
      </w:r>
      <w:r>
        <w:rPr>
          <w:rFonts w:ascii="Times New Roman" w:hAnsi="Times New Roman"/>
          <w:b w:val="0"/>
          <w:i w:val="0"/>
          <w:sz w:val="24"/>
        </w:rPr>
        <w:t xml:space="preserve"> Fixed effects absorb time-invariant specialty characteristics and common shocks, so identification comes from within-specialty deviations in litigation rate over time. Because both exposure and outcome vary within specialty over time, the estimand is the within-specialty association between the lagged litigation rate and subsequent growth—exactly the margin at which a deterrent would need to operate to be visible in national supply statistics. Standard errors are clustered by specialty; with twelve clusters we use the t distribution with eleven degrees of freedom throughout, which is conservative relative to normal approximations.</w:t>
      </w:r>
    </w:p>
    <w:p>
      <w:pPr>
        <w:spacing w:before="0" w:after="120"/>
        <w:jc w:val="center"/>
      </w:pPr>
      <m:oMath>
        <m:r>
          <m:t>Δ ln </m:t>
        </m:r>
        <m:sSub>
          <m:e>
            <m:r>
              <m:t>Y</m:t>
            </m:r>
          </m:e>
          <m:sub>
            <m:r>
              <m:t>s,t</m:t>
            </m:r>
          </m:sub>
        </m:sSub>
        <m:r>
          <m:t> = </m:t>
        </m:r>
        <m:sSub>
          <m:e>
            <m:r>
              <m:t>α</m:t>
            </m:r>
          </m:e>
          <m:sub>
            <m:r>
              <m:t>s</m:t>
            </m:r>
          </m:sub>
        </m:sSub>
        <m:r>
          <m:t> + </m:t>
        </m:r>
        <m:sSub>
          <m:e>
            <m:r>
              <m:t>γ</m:t>
            </m:r>
          </m:e>
          <m:sub>
            <m:r>
              <m:t>t</m:t>
            </m:r>
          </m:sub>
        </m:sSub>
        <m:r>
          <m:t> + </m:t>
        </m:r>
        <m:r>
          <m:t>β</m:t>
        </m:r>
        <m:sSub>
          <m:e>
            <m:r>
              <m:t>l</m:t>
            </m:r>
          </m:e>
          <m:sub>
            <m:r>
              <m:t>s,t-1</m:t>
            </m:r>
          </m:sub>
        </m:sSub>
        <m:r>
          <m:t> + </m:t>
        </m:r>
        <m:r>
          <m:t>δ</m:t>
        </m:r>
        <m:sSub>
          <m:e>
            <m:r>
              <m:t>J</m:t>
            </m:r>
          </m:e>
          <m:sub>
            <m:r>
              <m:t>s,t</m:t>
            </m:r>
          </m:sub>
        </m:sSub>
        <m:r>
          <m:t> + </m:t>
        </m:r>
        <m:sSub>
          <m:e>
            <m:r>
              <m:t>ε</m:t>
            </m:r>
          </m:e>
          <m:sub>
            <m:r>
              <m:t>s,t</m:t>
            </m:r>
          </m:sub>
        </m:sSub>
      </m:oMath>
    </w:p>
    <w:p>
      <w:pPr>
        <w:spacing w:line="480" w:lineRule="auto" w:after="120"/>
      </w:pPr>
      <w:r>
        <w:rPr>
          <w:rFonts w:ascii="Times New Roman" w:hAnsi="Times New Roman"/>
          <w:b w:val="0"/>
          <w:i w:val="0"/>
          <w:sz w:val="24"/>
        </w:rPr>
        <w:t>where ΔlnY is the biennial log-change in physicians or hospitals, α and γ are specialty and wave fixed effects, l is the one-interval-lagged litigation rate, J is the JOCS-CP indicator for obstetrics and gynaecology from January 2009 onward, and ε is the error term clustered by specialty.</w:t>
      </w:r>
    </w:p>
    <w:p>
      <w:pPr>
        <w:spacing w:line="480" w:lineRule="auto" w:after="120"/>
      </w:pPr>
      <w:r>
        <w:rPr>
          <w:rFonts w:ascii="Times New Roman" w:hAnsi="Times New Roman"/>
          <w:b w:val="0"/>
          <w:i w:val="0"/>
          <w:sz w:val="24"/>
        </w:rPr>
        <w:t>We assessed equivalence to a null effect using two one-sided tests (TOST).</w:t>
      </w:r>
      <w:r>
        <w:rPr>
          <w:rFonts w:ascii="Times New Roman" w:hAnsi="Times New Roman"/>
          <w:sz w:val="24"/>
          <w:vertAlign w:val="superscript"/>
        </w:rPr>
        <w:t>4-5</w:t>
      </w:r>
      <w:r>
        <w:rPr>
          <w:rFonts w:ascii="Times New Roman" w:hAnsi="Times New Roman"/>
          <w:b w:val="0"/>
          <w:i w:val="0"/>
          <w:sz w:val="24"/>
        </w:rPr>
        <w:t xml:space="preserve"> The exposure was standardised so the coefficient is the expected log-change per 1-SD increase in litigation rate; we specified equivalence margins of ±1% and ±2% biennial workforce change for the present analysis, as changes small enough to be unlikely to alter national specialty-workforce planning over a biennial interval, and used the number of specialty clusters minus one as the degrees of freedom. An indicator for obstetrics and gynaecology from 2009 onward captured the JOCS-CP period.</w:t>
      </w:r>
      <w:r>
        <w:rPr>
          <w:rFonts w:ascii="Times New Roman" w:hAnsi="Times New Roman"/>
          <w:sz w:val="24"/>
          <w:vertAlign w:val="superscript"/>
        </w:rPr>
        <w:t>6</w:t>
      </w:r>
      <w:r>
        <w:rPr>
          <w:rFonts w:ascii="Times New Roman" w:hAnsi="Times New Roman"/>
          <w:b w:val="0"/>
          <w:i w:val="0"/>
          <w:sz w:val="24"/>
        </w:rPr>
        <w:t xml:space="preserve"> Sensitivity analyses repeated the models on (i) the annual hospital series, (ii) a linearly interpolated annual physician series (with degrees of freedom governed by the measured waves, not the interpolated n), (iii) raw counts instead of rates, (iv) the annual hospital series 2016-2024 additionally controlling for the JMSR report rate (reports per 1,000 physicians), and (v) the annual hospital series 2009–2018 additionally controlling for total Nikkei Telecom article counts. Because the article-count series is a national yearly variable, it is collinear with full wave fixed effects; this sensitivity therefore uses specialty fixed effects plus a linear time trend rather than wave dummies. These last two tests evaluate whether the litigation coefficient is confounded by or collinear with broader accident reporting or media coverage. The JOCS-CP indicator is interpreted as an exploratory, contextual association rather than a causal estimate of the compensation scheme. Because the primary analyses are confirmatory and null, we did not adjust for multiplicity. Analyses used Python (statsmodels); code and data are openly available.</w:t>
      </w:r>
    </w:p>
    <w:p>
      <w:pPr>
        <w:spacing w:before="0" w:after="120"/>
        <w:jc w:val="center"/>
      </w:pPr>
      <m:oMath>
        <m:sSub>
          <m:e>
            <m:r>
              <m:t>H</m:t>
            </m:r>
          </m:e>
          <m:sub>
            <m:r>
              <m:t>01</m:t>
            </m:r>
          </m:sub>
        </m:sSub>
        <m:r>
          <m:t>: β ≤ -m    </m:t>
        </m:r>
        <m:sSub>
          <m:e>
            <m:r>
              <m:t>H</m:t>
            </m:r>
          </m:e>
          <m:sub>
            <m:r>
              <m:t>02</m:t>
            </m:r>
          </m:sub>
        </m:sSub>
        <m:r>
          <m:t>: β ≥ m</m:t>
        </m:r>
      </m:oMath>
    </w:p>
    <w:p>
      <w:pPr>
        <w:spacing w:line="480" w:lineRule="auto" w:after="120"/>
      </w:pPr>
      <w:r>
        <w:rPr>
          <w:rFonts w:ascii="Times New Roman" w:hAnsi="Times New Roman"/>
          <w:b w:val="0"/>
          <w:i w:val="0"/>
          <w:sz w:val="24"/>
        </w:rPr>
        <w:t>For physician growth m = 1%; for hospital growth m = 2%. Rejecting both one-sided nulls supports the equivalence conclusion |β|&lt;m. Both margins were also evaluated against tighter and looser alternatives (Supplementary Table 2), so the conclusion does not rest on a single threshold.</w:t>
      </w:r>
    </w:p>
    <w:p>
      <w:pPr>
        <w:pStyle w:val="Heading1"/>
      </w:pPr>
      <w:r>
        <w:rPr>
          <w:rFonts w:ascii="Times New Roman" w:hAnsi="Times New Roman"/>
          <w:color w:val="000000"/>
        </w:rPr>
        <w:t>Results</w:t>
      </w:r>
    </w:p>
    <w:p>
      <w:pPr>
        <w:pStyle w:val="Heading2"/>
      </w:pPr>
      <w:r>
        <w:rPr>
          <w:rFonts w:ascii="Times New Roman" w:hAnsi="Times New Roman"/>
          <w:color w:val="000000"/>
        </w:rPr>
        <w:t>Workforce and litigation trends</w:t>
      </w:r>
    </w:p>
    <w:p>
      <w:pPr>
        <w:spacing w:line="480" w:lineRule="auto" w:after="120"/>
      </w:pPr>
      <w:r>
        <w:rPr>
          <w:rFonts w:ascii="Times New Roman" w:hAnsi="Times New Roman"/>
          <w:b w:val="0"/>
          <w:i w:val="0"/>
          <w:sz w:val="24"/>
        </w:rPr>
        <w:t>Litigation rates per 1,000 physicians varied several-fold across specialties and fell over time in 10 of 12 fields (Supplementary Figure 1). Over the same period the physician workforce grew in 11 of 12 specialties (Supplementary Figure 2; Table 1); Surgery, which changed by -2.3%, was the only exception. Exposure and workforce therefore did not move in opposite directions as a flight-from-risk account would predict. Obstetrics and gynaecology carried the highest litigation rate in 2008, which then fell by roughly three-quarters by 2024 while the specialty's physician workforce grew; plastic surgery carried the highest rate in 2024 yet roughly doubled its physician count over the window. Surgery was the only specialty whose physician count declined, even though its litigation rate more than halved. These descriptive patterns are inconsistent with litigation exposure driving specialty-level workforce trajectories.</w:t>
      </w:r>
    </w:p>
    <w:p>
      <w:pPr>
        <w:spacing w:before="280" w:after="120"/>
      </w:pPr>
      <w:r>
        <w:rPr>
          <w:rFonts w:ascii="Times New Roman" w:hAnsi="Times New Roman"/>
          <w:b/>
          <w:sz w:val="20"/>
        </w:rPr>
        <w:t>Table 1. Physicians, litigation rate (per 1,000 physicians) and hospitals by specialty, first and last waves.</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center"/>
            </w:pPr>
            <w:r>
              <w:rPr>
                <w:rFonts w:ascii="Times New Roman" w:hAnsi="Times New Roman"/>
                <w:b/>
                <w:sz w:val="18"/>
              </w:rPr>
              <w:t>Specialty</w:t>
            </w:r>
          </w:p>
        </w:tc>
        <w:tc>
          <w:tcPr>
            <w:tcW w:type="dxa" w:w="1289"/>
          </w:tcPr>
          <w:p>
            <w:pPr>
              <w:jc w:val="center"/>
            </w:pPr>
            <w:r>
              <w:rPr>
                <w:rFonts w:ascii="Times New Roman" w:hAnsi="Times New Roman"/>
                <w:b/>
                <w:sz w:val="18"/>
              </w:rPr>
              <w:t>Physicians 2008</w:t>
            </w:r>
          </w:p>
        </w:tc>
        <w:tc>
          <w:tcPr>
            <w:tcW w:type="dxa" w:w="1289"/>
          </w:tcPr>
          <w:p>
            <w:pPr>
              <w:jc w:val="center"/>
            </w:pPr>
            <w:r>
              <w:rPr>
                <w:rFonts w:ascii="Times New Roman" w:hAnsi="Times New Roman"/>
                <w:b/>
                <w:sz w:val="18"/>
              </w:rPr>
              <w:t>Physicians 2024</w:t>
            </w:r>
          </w:p>
        </w:tc>
        <w:tc>
          <w:tcPr>
            <w:tcW w:type="dxa" w:w="1289"/>
          </w:tcPr>
          <w:p>
            <w:pPr>
              <w:jc w:val="center"/>
            </w:pPr>
            <w:r>
              <w:rPr>
                <w:rFonts w:ascii="Times New Roman" w:hAnsi="Times New Roman"/>
                <w:b/>
                <w:sz w:val="18"/>
              </w:rPr>
              <w:t>Lit. rate 2008</w:t>
            </w:r>
          </w:p>
        </w:tc>
        <w:tc>
          <w:tcPr>
            <w:tcW w:type="dxa" w:w="1289"/>
          </w:tcPr>
          <w:p>
            <w:pPr>
              <w:jc w:val="center"/>
            </w:pPr>
            <w:r>
              <w:rPr>
                <w:rFonts w:ascii="Times New Roman" w:hAnsi="Times New Roman"/>
                <w:b/>
                <w:sz w:val="18"/>
              </w:rPr>
              <w:t>Lit. rate 2024</w:t>
            </w:r>
          </w:p>
        </w:tc>
        <w:tc>
          <w:tcPr>
            <w:tcW w:type="dxa" w:w="1289"/>
          </w:tcPr>
          <w:p>
            <w:pPr>
              <w:jc w:val="center"/>
            </w:pPr>
            <w:r>
              <w:rPr>
                <w:rFonts w:ascii="Times New Roman" w:hAnsi="Times New Roman"/>
                <w:b/>
                <w:sz w:val="18"/>
              </w:rPr>
              <w:t>Hospitals 2008</w:t>
            </w:r>
          </w:p>
        </w:tc>
        <w:tc>
          <w:tcPr>
            <w:tcW w:type="dxa" w:w="1289"/>
          </w:tcPr>
          <w:p>
            <w:pPr>
              <w:jc w:val="center"/>
            </w:pPr>
            <w:r>
              <w:rPr>
                <w:rFonts w:ascii="Times New Roman" w:hAnsi="Times New Roman"/>
                <w:b/>
                <w:sz w:val="18"/>
              </w:rPr>
              <w:t>Hospitals 2024</w:t>
            </w:r>
          </w:p>
        </w:tc>
      </w:tr>
      <w:tr>
        <w:tc>
          <w:tcPr>
            <w:tcW w:type="dxa" w:w="1289"/>
          </w:tcPr>
          <w:p>
            <w:r>
              <w:rPr>
                <w:rFonts w:ascii="Times New Roman" w:hAnsi="Times New Roman"/>
                <w:sz w:val="18"/>
              </w:rPr>
              <w:t>Internal medicine</w:t>
            </w:r>
          </w:p>
        </w:tc>
        <w:tc>
          <w:tcPr>
            <w:tcW w:type="dxa" w:w="1289"/>
          </w:tcPr>
          <w:p>
            <w:pPr>
              <w:jc w:val="center"/>
            </w:pPr>
            <w:r>
              <w:rPr>
                <w:rFonts w:ascii="Times New Roman" w:hAnsi="Times New Roman"/>
                <w:sz w:val="18"/>
              </w:rPr>
              <w:t>102388</w:t>
            </w:r>
          </w:p>
        </w:tc>
        <w:tc>
          <w:tcPr>
            <w:tcW w:type="dxa" w:w="1289"/>
          </w:tcPr>
          <w:p>
            <w:pPr>
              <w:jc w:val="center"/>
            </w:pPr>
            <w:r>
              <w:rPr>
                <w:rFonts w:ascii="Times New Roman" w:hAnsi="Times New Roman"/>
                <w:sz w:val="18"/>
              </w:rPr>
              <w:t>124010</w:t>
            </w:r>
          </w:p>
        </w:tc>
        <w:tc>
          <w:tcPr>
            <w:tcW w:type="dxa" w:w="1289"/>
          </w:tcPr>
          <w:p>
            <w:pPr>
              <w:jc w:val="center"/>
            </w:pPr>
            <w:r>
              <w:rPr>
                <w:rFonts w:ascii="Times New Roman" w:hAnsi="Times New Roman"/>
                <w:sz w:val="18"/>
              </w:rPr>
              <w:t>2.23</w:t>
            </w:r>
          </w:p>
        </w:tc>
        <w:tc>
          <w:tcPr>
            <w:tcW w:type="dxa" w:w="1289"/>
          </w:tcPr>
          <w:p>
            <w:pPr>
              <w:jc w:val="center"/>
            </w:pPr>
            <w:r>
              <w:rPr>
                <w:rFonts w:ascii="Times New Roman" w:hAnsi="Times New Roman"/>
                <w:sz w:val="18"/>
              </w:rPr>
              <w:t>1.48</w:t>
            </w:r>
          </w:p>
        </w:tc>
        <w:tc>
          <w:tcPr>
            <w:tcW w:type="dxa" w:w="1289"/>
          </w:tcPr>
          <w:p>
            <w:pPr>
              <w:jc w:val="center"/>
            </w:pPr>
            <w:r>
              <w:rPr>
                <w:rFonts w:ascii="Times New Roman" w:hAnsi="Times New Roman"/>
                <w:sz w:val="18"/>
              </w:rPr>
              <w:t>7725</w:t>
            </w:r>
          </w:p>
        </w:tc>
        <w:tc>
          <w:tcPr>
            <w:tcW w:type="dxa" w:w="1289"/>
          </w:tcPr>
          <w:p>
            <w:pPr>
              <w:jc w:val="center"/>
            </w:pPr>
            <w:r>
              <w:rPr>
                <w:rFonts w:ascii="Times New Roman" w:hAnsi="Times New Roman"/>
                <w:sz w:val="18"/>
              </w:rPr>
              <w:t>7163</w:t>
            </w:r>
          </w:p>
        </w:tc>
      </w:tr>
      <w:tr>
        <w:tc>
          <w:tcPr>
            <w:tcW w:type="dxa" w:w="1289"/>
          </w:tcPr>
          <w:p>
            <w:r>
              <w:rPr>
                <w:rFonts w:ascii="Times New Roman" w:hAnsi="Times New Roman"/>
                <w:sz w:val="18"/>
              </w:rPr>
              <w:t>Surgery</w:t>
            </w:r>
          </w:p>
        </w:tc>
        <w:tc>
          <w:tcPr>
            <w:tcW w:type="dxa" w:w="1289"/>
          </w:tcPr>
          <w:p>
            <w:pPr>
              <w:jc w:val="center"/>
            </w:pPr>
            <w:r>
              <w:rPr>
                <w:rFonts w:ascii="Times New Roman" w:hAnsi="Times New Roman"/>
                <w:sz w:val="18"/>
              </w:rPr>
              <w:t>27525</w:t>
            </w:r>
          </w:p>
        </w:tc>
        <w:tc>
          <w:tcPr>
            <w:tcW w:type="dxa" w:w="1289"/>
          </w:tcPr>
          <w:p>
            <w:pPr>
              <w:jc w:val="center"/>
            </w:pPr>
            <w:r>
              <w:rPr>
                <w:rFonts w:ascii="Times New Roman" w:hAnsi="Times New Roman"/>
                <w:sz w:val="18"/>
              </w:rPr>
              <w:t>26885</w:t>
            </w:r>
          </w:p>
        </w:tc>
        <w:tc>
          <w:tcPr>
            <w:tcW w:type="dxa" w:w="1289"/>
          </w:tcPr>
          <w:p>
            <w:pPr>
              <w:jc w:val="center"/>
            </w:pPr>
            <w:r>
              <w:rPr>
                <w:rFonts w:ascii="Times New Roman" w:hAnsi="Times New Roman"/>
                <w:sz w:val="18"/>
              </w:rPr>
              <w:t>6.54</w:t>
            </w:r>
          </w:p>
        </w:tc>
        <w:tc>
          <w:tcPr>
            <w:tcW w:type="dxa" w:w="1289"/>
          </w:tcPr>
          <w:p>
            <w:pPr>
              <w:jc w:val="center"/>
            </w:pPr>
            <w:r>
              <w:rPr>
                <w:rFonts w:ascii="Times New Roman" w:hAnsi="Times New Roman"/>
                <w:sz w:val="18"/>
              </w:rPr>
              <w:t>2.83</w:t>
            </w:r>
          </w:p>
        </w:tc>
        <w:tc>
          <w:tcPr>
            <w:tcW w:type="dxa" w:w="1289"/>
          </w:tcPr>
          <w:p>
            <w:pPr>
              <w:jc w:val="center"/>
            </w:pPr>
            <w:r>
              <w:rPr>
                <w:rFonts w:ascii="Times New Roman" w:hAnsi="Times New Roman"/>
                <w:sz w:val="18"/>
              </w:rPr>
              <w:t>4994</w:t>
            </w:r>
          </w:p>
        </w:tc>
        <w:tc>
          <w:tcPr>
            <w:tcW w:type="dxa" w:w="1289"/>
          </w:tcPr>
          <w:p>
            <w:pPr>
              <w:jc w:val="center"/>
            </w:pPr>
            <w:r>
              <w:rPr>
                <w:rFonts w:ascii="Times New Roman" w:hAnsi="Times New Roman"/>
                <w:sz w:val="18"/>
              </w:rPr>
              <w:t>4300</w:t>
            </w:r>
          </w:p>
        </w:tc>
      </w:tr>
      <w:tr>
        <w:tc>
          <w:tcPr>
            <w:tcW w:type="dxa" w:w="1289"/>
          </w:tcPr>
          <w:p>
            <w:r>
              <w:rPr>
                <w:rFonts w:ascii="Times New Roman" w:hAnsi="Times New Roman"/>
                <w:sz w:val="18"/>
              </w:rPr>
              <w:t>Orthopaedics</w:t>
            </w:r>
          </w:p>
        </w:tc>
        <w:tc>
          <w:tcPr>
            <w:tcW w:type="dxa" w:w="1289"/>
          </w:tcPr>
          <w:p>
            <w:pPr>
              <w:jc w:val="center"/>
            </w:pPr>
            <w:r>
              <w:rPr>
                <w:rFonts w:ascii="Times New Roman" w:hAnsi="Times New Roman"/>
                <w:sz w:val="18"/>
              </w:rPr>
              <w:t>19273</w:t>
            </w:r>
          </w:p>
        </w:tc>
        <w:tc>
          <w:tcPr>
            <w:tcW w:type="dxa" w:w="1289"/>
          </w:tcPr>
          <w:p>
            <w:pPr>
              <w:jc w:val="center"/>
            </w:pPr>
            <w:r>
              <w:rPr>
                <w:rFonts w:ascii="Times New Roman" w:hAnsi="Times New Roman"/>
                <w:sz w:val="18"/>
              </w:rPr>
              <w:t>22630</w:t>
            </w:r>
          </w:p>
        </w:tc>
        <w:tc>
          <w:tcPr>
            <w:tcW w:type="dxa" w:w="1289"/>
          </w:tcPr>
          <w:p>
            <w:pPr>
              <w:jc w:val="center"/>
            </w:pPr>
            <w:r>
              <w:rPr>
                <w:rFonts w:ascii="Times New Roman" w:hAnsi="Times New Roman"/>
                <w:sz w:val="18"/>
              </w:rPr>
              <w:t>5.60</w:t>
            </w:r>
          </w:p>
        </w:tc>
        <w:tc>
          <w:tcPr>
            <w:tcW w:type="dxa" w:w="1289"/>
          </w:tcPr>
          <w:p>
            <w:pPr>
              <w:jc w:val="center"/>
            </w:pPr>
            <w:r>
              <w:rPr>
                <w:rFonts w:ascii="Times New Roman" w:hAnsi="Times New Roman"/>
                <w:sz w:val="18"/>
              </w:rPr>
              <w:t>2.87</w:t>
            </w:r>
          </w:p>
        </w:tc>
        <w:tc>
          <w:tcPr>
            <w:tcW w:type="dxa" w:w="1289"/>
          </w:tcPr>
          <w:p>
            <w:pPr>
              <w:jc w:val="center"/>
            </w:pPr>
            <w:r>
              <w:rPr>
                <w:rFonts w:ascii="Times New Roman" w:hAnsi="Times New Roman"/>
                <w:sz w:val="18"/>
              </w:rPr>
              <w:t>5094</w:t>
            </w:r>
          </w:p>
        </w:tc>
        <w:tc>
          <w:tcPr>
            <w:tcW w:type="dxa" w:w="1289"/>
          </w:tcPr>
          <w:p>
            <w:pPr>
              <w:jc w:val="center"/>
            </w:pPr>
            <w:r>
              <w:rPr>
                <w:rFonts w:ascii="Times New Roman" w:hAnsi="Times New Roman"/>
                <w:sz w:val="18"/>
              </w:rPr>
              <w:t>4844</w:t>
            </w:r>
          </w:p>
        </w:tc>
      </w:tr>
      <w:tr>
        <w:tc>
          <w:tcPr>
            <w:tcW w:type="dxa" w:w="1289"/>
          </w:tcPr>
          <w:p>
            <w:r>
              <w:rPr>
                <w:rFonts w:ascii="Times New Roman" w:hAnsi="Times New Roman"/>
                <w:sz w:val="18"/>
              </w:rPr>
              <w:t>Plastic surgery</w:t>
            </w:r>
          </w:p>
        </w:tc>
        <w:tc>
          <w:tcPr>
            <w:tcW w:type="dxa" w:w="1289"/>
          </w:tcPr>
          <w:p>
            <w:pPr>
              <w:jc w:val="center"/>
            </w:pPr>
            <w:r>
              <w:rPr>
                <w:rFonts w:ascii="Times New Roman" w:hAnsi="Times New Roman"/>
                <w:sz w:val="18"/>
              </w:rPr>
              <w:t>2520</w:t>
            </w:r>
          </w:p>
        </w:tc>
        <w:tc>
          <w:tcPr>
            <w:tcW w:type="dxa" w:w="1289"/>
          </w:tcPr>
          <w:p>
            <w:pPr>
              <w:jc w:val="center"/>
            </w:pPr>
            <w:r>
              <w:rPr>
                <w:rFonts w:ascii="Times New Roman" w:hAnsi="Times New Roman"/>
                <w:sz w:val="18"/>
              </w:rPr>
              <w:t>5074</w:t>
            </w:r>
          </w:p>
        </w:tc>
        <w:tc>
          <w:tcPr>
            <w:tcW w:type="dxa" w:w="1289"/>
          </w:tcPr>
          <w:p>
            <w:pPr>
              <w:jc w:val="center"/>
            </w:pPr>
            <w:r>
              <w:rPr>
                <w:rFonts w:ascii="Times New Roman" w:hAnsi="Times New Roman"/>
                <w:sz w:val="18"/>
              </w:rPr>
              <w:t>7.14</w:t>
            </w:r>
          </w:p>
        </w:tc>
        <w:tc>
          <w:tcPr>
            <w:tcW w:type="dxa" w:w="1289"/>
          </w:tcPr>
          <w:p>
            <w:pPr>
              <w:jc w:val="center"/>
            </w:pPr>
            <w:r>
              <w:rPr>
                <w:rFonts w:ascii="Times New Roman" w:hAnsi="Times New Roman"/>
                <w:sz w:val="18"/>
              </w:rPr>
              <w:t>8.28</w:t>
            </w:r>
          </w:p>
        </w:tc>
        <w:tc>
          <w:tcPr>
            <w:tcW w:type="dxa" w:w="1289"/>
          </w:tcPr>
          <w:p>
            <w:pPr>
              <w:jc w:val="center"/>
            </w:pPr>
            <w:r>
              <w:rPr>
                <w:rFonts w:ascii="Times New Roman" w:hAnsi="Times New Roman"/>
                <w:sz w:val="18"/>
              </w:rPr>
              <w:t>1090</w:t>
            </w:r>
          </w:p>
        </w:tc>
        <w:tc>
          <w:tcPr>
            <w:tcW w:type="dxa" w:w="1289"/>
          </w:tcPr>
          <w:p>
            <w:pPr>
              <w:jc w:val="center"/>
            </w:pPr>
            <w:r>
              <w:rPr>
                <w:rFonts w:ascii="Times New Roman" w:hAnsi="Times New Roman"/>
                <w:sz w:val="18"/>
              </w:rPr>
              <w:t>1475</w:t>
            </w:r>
          </w:p>
        </w:tc>
      </w:tr>
      <w:tr>
        <w:tc>
          <w:tcPr>
            <w:tcW w:type="dxa" w:w="1289"/>
          </w:tcPr>
          <w:p>
            <w:r>
              <w:rPr>
                <w:rFonts w:ascii="Times New Roman" w:hAnsi="Times New Roman"/>
                <w:sz w:val="18"/>
              </w:rPr>
              <w:t>Obstetrics &amp; gynaecology</w:t>
            </w:r>
          </w:p>
        </w:tc>
        <w:tc>
          <w:tcPr>
            <w:tcW w:type="dxa" w:w="1289"/>
          </w:tcPr>
          <w:p>
            <w:pPr>
              <w:jc w:val="center"/>
            </w:pPr>
            <w:r>
              <w:rPr>
                <w:rFonts w:ascii="Times New Roman" w:hAnsi="Times New Roman"/>
                <w:sz w:val="18"/>
              </w:rPr>
              <w:t>11961</w:t>
            </w:r>
          </w:p>
        </w:tc>
        <w:tc>
          <w:tcPr>
            <w:tcW w:type="dxa" w:w="1289"/>
          </w:tcPr>
          <w:p>
            <w:pPr>
              <w:jc w:val="center"/>
            </w:pPr>
            <w:r>
              <w:rPr>
                <w:rFonts w:ascii="Times New Roman" w:hAnsi="Times New Roman"/>
                <w:sz w:val="18"/>
              </w:rPr>
              <w:t>13908</w:t>
            </w:r>
          </w:p>
        </w:tc>
        <w:tc>
          <w:tcPr>
            <w:tcW w:type="dxa" w:w="1289"/>
          </w:tcPr>
          <w:p>
            <w:pPr>
              <w:jc w:val="center"/>
            </w:pPr>
            <w:r>
              <w:rPr>
                <w:rFonts w:ascii="Times New Roman" w:hAnsi="Times New Roman"/>
                <w:sz w:val="18"/>
              </w:rPr>
              <w:t>8.28</w:t>
            </w:r>
          </w:p>
        </w:tc>
        <w:tc>
          <w:tcPr>
            <w:tcW w:type="dxa" w:w="1289"/>
          </w:tcPr>
          <w:p>
            <w:pPr>
              <w:jc w:val="center"/>
            </w:pPr>
            <w:r>
              <w:rPr>
                <w:rFonts w:ascii="Times New Roman" w:hAnsi="Times New Roman"/>
                <w:sz w:val="18"/>
              </w:rPr>
              <w:t>2.23</w:t>
            </w:r>
          </w:p>
        </w:tc>
        <w:tc>
          <w:tcPr>
            <w:tcW w:type="dxa" w:w="1289"/>
          </w:tcPr>
          <w:p>
            <w:pPr>
              <w:jc w:val="center"/>
            </w:pPr>
            <w:r>
              <w:rPr>
                <w:rFonts w:ascii="Times New Roman" w:hAnsi="Times New Roman"/>
                <w:sz w:val="18"/>
              </w:rPr>
              <w:t>1319</w:t>
            </w:r>
          </w:p>
        </w:tc>
        <w:tc>
          <w:tcPr>
            <w:tcW w:type="dxa" w:w="1289"/>
          </w:tcPr>
          <w:p>
            <w:pPr>
              <w:jc w:val="center"/>
            </w:pPr>
            <w:r>
              <w:rPr>
                <w:rFonts w:ascii="Times New Roman" w:hAnsi="Times New Roman"/>
                <w:sz w:val="18"/>
              </w:rPr>
              <w:t>1052</w:t>
            </w:r>
          </w:p>
        </w:tc>
      </w:tr>
      <w:tr>
        <w:tc>
          <w:tcPr>
            <w:tcW w:type="dxa" w:w="1289"/>
          </w:tcPr>
          <w:p>
            <w:r>
              <w:rPr>
                <w:rFonts w:ascii="Times New Roman" w:hAnsi="Times New Roman"/>
                <w:sz w:val="18"/>
              </w:rPr>
              <w:t>Paediatrics</w:t>
            </w:r>
          </w:p>
        </w:tc>
        <w:tc>
          <w:tcPr>
            <w:tcW w:type="dxa" w:w="1289"/>
          </w:tcPr>
          <w:p>
            <w:pPr>
              <w:jc w:val="center"/>
            </w:pPr>
            <w:r>
              <w:rPr>
                <w:rFonts w:ascii="Times New Roman" w:hAnsi="Times New Roman"/>
                <w:sz w:val="18"/>
              </w:rPr>
              <w:t>15236</w:t>
            </w:r>
          </w:p>
        </w:tc>
        <w:tc>
          <w:tcPr>
            <w:tcW w:type="dxa" w:w="1289"/>
          </w:tcPr>
          <w:p>
            <w:pPr>
              <w:jc w:val="center"/>
            </w:pPr>
            <w:r>
              <w:rPr>
                <w:rFonts w:ascii="Times New Roman" w:hAnsi="Times New Roman"/>
                <w:sz w:val="18"/>
              </w:rPr>
              <w:t>18009</w:t>
            </w:r>
          </w:p>
        </w:tc>
        <w:tc>
          <w:tcPr>
            <w:tcW w:type="dxa" w:w="1289"/>
          </w:tcPr>
          <w:p>
            <w:pPr>
              <w:jc w:val="center"/>
            </w:pPr>
            <w:r>
              <w:rPr>
                <w:rFonts w:ascii="Times New Roman" w:hAnsi="Times New Roman"/>
                <w:sz w:val="18"/>
              </w:rPr>
              <w:t>1.44</w:t>
            </w:r>
          </w:p>
        </w:tc>
        <w:tc>
          <w:tcPr>
            <w:tcW w:type="dxa" w:w="1289"/>
          </w:tcPr>
          <w:p>
            <w:pPr>
              <w:jc w:val="center"/>
            </w:pPr>
            <w:r>
              <w:rPr>
                <w:rFonts w:ascii="Times New Roman" w:hAnsi="Times New Roman"/>
                <w:sz w:val="18"/>
              </w:rPr>
              <w:t>0.44</w:t>
            </w:r>
          </w:p>
        </w:tc>
        <w:tc>
          <w:tcPr>
            <w:tcW w:type="dxa" w:w="1289"/>
          </w:tcPr>
          <w:p>
            <w:pPr>
              <w:jc w:val="center"/>
            </w:pPr>
            <w:r>
              <w:rPr>
                <w:rFonts w:ascii="Times New Roman" w:hAnsi="Times New Roman"/>
                <w:sz w:val="18"/>
              </w:rPr>
              <w:t>2932</w:t>
            </w:r>
          </w:p>
        </w:tc>
        <w:tc>
          <w:tcPr>
            <w:tcW w:type="dxa" w:w="1289"/>
          </w:tcPr>
          <w:p>
            <w:pPr>
              <w:jc w:val="center"/>
            </w:pPr>
            <w:r>
              <w:rPr>
                <w:rFonts w:ascii="Times New Roman" w:hAnsi="Times New Roman"/>
                <w:sz w:val="18"/>
              </w:rPr>
              <w:t>2446</w:t>
            </w:r>
          </w:p>
        </w:tc>
      </w:tr>
      <w:tr>
        <w:tc>
          <w:tcPr>
            <w:tcW w:type="dxa" w:w="1289"/>
          </w:tcPr>
          <w:p>
            <w:r>
              <w:rPr>
                <w:rFonts w:ascii="Times New Roman" w:hAnsi="Times New Roman"/>
                <w:sz w:val="18"/>
              </w:rPr>
              <w:t>Psychiatry</w:t>
            </w:r>
          </w:p>
        </w:tc>
        <w:tc>
          <w:tcPr>
            <w:tcW w:type="dxa" w:w="1289"/>
          </w:tcPr>
          <w:p>
            <w:pPr>
              <w:jc w:val="center"/>
            </w:pPr>
            <w:r>
              <w:rPr>
                <w:rFonts w:ascii="Times New Roman" w:hAnsi="Times New Roman"/>
                <w:sz w:val="18"/>
              </w:rPr>
              <w:t>13534</w:t>
            </w:r>
          </w:p>
        </w:tc>
        <w:tc>
          <w:tcPr>
            <w:tcW w:type="dxa" w:w="1289"/>
          </w:tcPr>
          <w:p>
            <w:pPr>
              <w:jc w:val="center"/>
            </w:pPr>
            <w:r>
              <w:rPr>
                <w:rFonts w:ascii="Times New Roman" w:hAnsi="Times New Roman"/>
                <w:sz w:val="18"/>
              </w:rPr>
              <w:t>17259</w:t>
            </w:r>
          </w:p>
        </w:tc>
        <w:tc>
          <w:tcPr>
            <w:tcW w:type="dxa" w:w="1289"/>
          </w:tcPr>
          <w:p>
            <w:pPr>
              <w:jc w:val="center"/>
            </w:pPr>
            <w:r>
              <w:rPr>
                <w:rFonts w:ascii="Times New Roman" w:hAnsi="Times New Roman"/>
                <w:sz w:val="18"/>
              </w:rPr>
              <w:t>2.22</w:t>
            </w:r>
          </w:p>
        </w:tc>
        <w:tc>
          <w:tcPr>
            <w:tcW w:type="dxa" w:w="1289"/>
          </w:tcPr>
          <w:p>
            <w:pPr>
              <w:jc w:val="center"/>
            </w:pPr>
            <w:r>
              <w:rPr>
                <w:rFonts w:ascii="Times New Roman" w:hAnsi="Times New Roman"/>
                <w:sz w:val="18"/>
              </w:rPr>
              <w:t>1.80</w:t>
            </w:r>
          </w:p>
        </w:tc>
        <w:tc>
          <w:tcPr>
            <w:tcW w:type="dxa" w:w="1289"/>
          </w:tcPr>
          <w:p>
            <w:pPr>
              <w:jc w:val="center"/>
            </w:pPr>
            <w:r>
              <w:rPr>
                <w:rFonts w:ascii="Times New Roman" w:hAnsi="Times New Roman"/>
                <w:sz w:val="18"/>
              </w:rPr>
              <w:t>2618</w:t>
            </w:r>
          </w:p>
        </w:tc>
        <w:tc>
          <w:tcPr>
            <w:tcW w:type="dxa" w:w="1289"/>
          </w:tcPr>
          <w:p>
            <w:pPr>
              <w:jc w:val="center"/>
            </w:pPr>
            <w:r>
              <w:rPr>
                <w:rFonts w:ascii="Times New Roman" w:hAnsi="Times New Roman"/>
                <w:sz w:val="18"/>
              </w:rPr>
              <w:t>2881</w:t>
            </w:r>
          </w:p>
        </w:tc>
      </w:tr>
      <w:tr>
        <w:tc>
          <w:tcPr>
            <w:tcW w:type="dxa" w:w="1289"/>
          </w:tcPr>
          <w:p>
            <w:r>
              <w:rPr>
                <w:rFonts w:ascii="Times New Roman" w:hAnsi="Times New Roman"/>
                <w:sz w:val="18"/>
              </w:rPr>
              <w:t>Ophthalmology</w:t>
            </w:r>
          </w:p>
        </w:tc>
        <w:tc>
          <w:tcPr>
            <w:tcW w:type="dxa" w:w="1289"/>
          </w:tcPr>
          <w:p>
            <w:pPr>
              <w:jc w:val="center"/>
            </w:pPr>
            <w:r>
              <w:rPr>
                <w:rFonts w:ascii="Times New Roman" w:hAnsi="Times New Roman"/>
                <w:sz w:val="18"/>
              </w:rPr>
              <w:t>12627</w:t>
            </w:r>
          </w:p>
        </w:tc>
        <w:tc>
          <w:tcPr>
            <w:tcW w:type="dxa" w:w="1289"/>
          </w:tcPr>
          <w:p>
            <w:pPr>
              <w:jc w:val="center"/>
            </w:pPr>
            <w:r>
              <w:rPr>
                <w:rFonts w:ascii="Times New Roman" w:hAnsi="Times New Roman"/>
                <w:sz w:val="18"/>
              </w:rPr>
              <w:t>13436</w:t>
            </w:r>
          </w:p>
        </w:tc>
        <w:tc>
          <w:tcPr>
            <w:tcW w:type="dxa" w:w="1289"/>
          </w:tcPr>
          <w:p>
            <w:pPr>
              <w:jc w:val="center"/>
            </w:pPr>
            <w:r>
              <w:rPr>
                <w:rFonts w:ascii="Times New Roman" w:hAnsi="Times New Roman"/>
                <w:sz w:val="18"/>
              </w:rPr>
              <w:t>2.14</w:t>
            </w:r>
          </w:p>
        </w:tc>
        <w:tc>
          <w:tcPr>
            <w:tcW w:type="dxa" w:w="1289"/>
          </w:tcPr>
          <w:p>
            <w:pPr>
              <w:jc w:val="center"/>
            </w:pPr>
            <w:r>
              <w:rPr>
                <w:rFonts w:ascii="Times New Roman" w:hAnsi="Times New Roman"/>
                <w:sz w:val="18"/>
              </w:rPr>
              <w:t>1.04</w:t>
            </w:r>
          </w:p>
        </w:tc>
        <w:tc>
          <w:tcPr>
            <w:tcW w:type="dxa" w:w="1289"/>
          </w:tcPr>
          <w:p>
            <w:pPr>
              <w:jc w:val="center"/>
            </w:pPr>
            <w:r>
              <w:rPr>
                <w:rFonts w:ascii="Times New Roman" w:hAnsi="Times New Roman"/>
                <w:sz w:val="18"/>
              </w:rPr>
              <w:t>2501</w:t>
            </w:r>
          </w:p>
        </w:tc>
        <w:tc>
          <w:tcPr>
            <w:tcW w:type="dxa" w:w="1289"/>
          </w:tcPr>
          <w:p>
            <w:pPr>
              <w:jc w:val="center"/>
            </w:pPr>
            <w:r>
              <w:rPr>
                <w:rFonts w:ascii="Times New Roman" w:hAnsi="Times New Roman"/>
                <w:sz w:val="18"/>
              </w:rPr>
              <w:t>2310</w:t>
            </w:r>
          </w:p>
        </w:tc>
      </w:tr>
      <w:tr>
        <w:tc>
          <w:tcPr>
            <w:tcW w:type="dxa" w:w="1289"/>
          </w:tcPr>
          <w:p>
            <w:r>
              <w:rPr>
                <w:rFonts w:ascii="Times New Roman" w:hAnsi="Times New Roman"/>
                <w:sz w:val="18"/>
              </w:rPr>
              <w:t>Otolaryngology</w:t>
            </w:r>
          </w:p>
        </w:tc>
        <w:tc>
          <w:tcPr>
            <w:tcW w:type="dxa" w:w="1289"/>
          </w:tcPr>
          <w:p>
            <w:pPr>
              <w:jc w:val="center"/>
            </w:pPr>
            <w:r>
              <w:rPr>
                <w:rFonts w:ascii="Times New Roman" w:hAnsi="Times New Roman"/>
                <w:sz w:val="18"/>
              </w:rPr>
              <w:t>8936</w:t>
            </w:r>
          </w:p>
        </w:tc>
        <w:tc>
          <w:tcPr>
            <w:tcW w:type="dxa" w:w="1289"/>
          </w:tcPr>
          <w:p>
            <w:pPr>
              <w:jc w:val="center"/>
            </w:pPr>
            <w:r>
              <w:rPr>
                <w:rFonts w:ascii="Times New Roman" w:hAnsi="Times New Roman"/>
                <w:sz w:val="18"/>
              </w:rPr>
              <w:t>9330</w:t>
            </w:r>
          </w:p>
        </w:tc>
        <w:tc>
          <w:tcPr>
            <w:tcW w:type="dxa" w:w="1289"/>
          </w:tcPr>
          <w:p>
            <w:pPr>
              <w:jc w:val="center"/>
            </w:pPr>
            <w:r>
              <w:rPr>
                <w:rFonts w:ascii="Times New Roman" w:hAnsi="Times New Roman"/>
                <w:sz w:val="18"/>
              </w:rPr>
              <w:t>2.13</w:t>
            </w:r>
          </w:p>
        </w:tc>
        <w:tc>
          <w:tcPr>
            <w:tcW w:type="dxa" w:w="1289"/>
          </w:tcPr>
          <w:p>
            <w:pPr>
              <w:jc w:val="center"/>
            </w:pPr>
            <w:r>
              <w:rPr>
                <w:rFonts w:ascii="Times New Roman" w:hAnsi="Times New Roman"/>
                <w:sz w:val="18"/>
              </w:rPr>
              <w:t>1.39</w:t>
            </w:r>
          </w:p>
        </w:tc>
        <w:tc>
          <w:tcPr>
            <w:tcW w:type="dxa" w:w="1289"/>
          </w:tcPr>
          <w:p>
            <w:pPr>
              <w:jc w:val="center"/>
            </w:pPr>
            <w:r>
              <w:rPr>
                <w:rFonts w:ascii="Times New Roman" w:hAnsi="Times New Roman"/>
                <w:sz w:val="18"/>
              </w:rPr>
              <w:t>2039</w:t>
            </w:r>
          </w:p>
        </w:tc>
        <w:tc>
          <w:tcPr>
            <w:tcW w:type="dxa" w:w="1289"/>
          </w:tcPr>
          <w:p>
            <w:pPr>
              <w:jc w:val="center"/>
            </w:pPr>
            <w:r>
              <w:rPr>
                <w:rFonts w:ascii="Times New Roman" w:hAnsi="Times New Roman"/>
                <w:sz w:val="18"/>
              </w:rPr>
              <w:t>1937</w:t>
            </w:r>
          </w:p>
        </w:tc>
      </w:tr>
      <w:tr>
        <w:tc>
          <w:tcPr>
            <w:tcW w:type="dxa" w:w="1289"/>
          </w:tcPr>
          <w:p>
            <w:r>
              <w:rPr>
                <w:rFonts w:ascii="Times New Roman" w:hAnsi="Times New Roman"/>
                <w:sz w:val="18"/>
              </w:rPr>
              <w:t>Urology</w:t>
            </w:r>
          </w:p>
        </w:tc>
        <w:tc>
          <w:tcPr>
            <w:tcW w:type="dxa" w:w="1289"/>
          </w:tcPr>
          <w:p>
            <w:pPr>
              <w:jc w:val="center"/>
            </w:pPr>
            <w:r>
              <w:rPr>
                <w:rFonts w:ascii="Times New Roman" w:hAnsi="Times New Roman"/>
                <w:sz w:val="18"/>
              </w:rPr>
              <w:t>6324</w:t>
            </w:r>
          </w:p>
        </w:tc>
        <w:tc>
          <w:tcPr>
            <w:tcW w:type="dxa" w:w="1289"/>
          </w:tcPr>
          <w:p>
            <w:pPr>
              <w:jc w:val="center"/>
            </w:pPr>
            <w:r>
              <w:rPr>
                <w:rFonts w:ascii="Times New Roman" w:hAnsi="Times New Roman"/>
                <w:sz w:val="18"/>
              </w:rPr>
              <w:t>8069</w:t>
            </w:r>
          </w:p>
        </w:tc>
        <w:tc>
          <w:tcPr>
            <w:tcW w:type="dxa" w:w="1289"/>
          </w:tcPr>
          <w:p>
            <w:pPr>
              <w:jc w:val="center"/>
            </w:pPr>
            <w:r>
              <w:rPr>
                <w:rFonts w:ascii="Times New Roman" w:hAnsi="Times New Roman"/>
                <w:sz w:val="18"/>
              </w:rPr>
              <w:t>2.85</w:t>
            </w:r>
          </w:p>
        </w:tc>
        <w:tc>
          <w:tcPr>
            <w:tcW w:type="dxa" w:w="1289"/>
          </w:tcPr>
          <w:p>
            <w:pPr>
              <w:jc w:val="center"/>
            </w:pPr>
            <w:r>
              <w:rPr>
                <w:rFonts w:ascii="Times New Roman" w:hAnsi="Times New Roman"/>
                <w:sz w:val="18"/>
              </w:rPr>
              <w:t>2.11</w:t>
            </w:r>
          </w:p>
        </w:tc>
        <w:tc>
          <w:tcPr>
            <w:tcW w:type="dxa" w:w="1289"/>
          </w:tcPr>
          <w:p>
            <w:pPr>
              <w:jc w:val="center"/>
            </w:pPr>
            <w:r>
              <w:rPr>
                <w:rFonts w:ascii="Times New Roman" w:hAnsi="Times New Roman"/>
                <w:sz w:val="18"/>
              </w:rPr>
              <w:t>2799</w:t>
            </w:r>
          </w:p>
        </w:tc>
        <w:tc>
          <w:tcPr>
            <w:tcW w:type="dxa" w:w="1289"/>
          </w:tcPr>
          <w:p>
            <w:pPr>
              <w:jc w:val="center"/>
            </w:pPr>
            <w:r>
              <w:rPr>
                <w:rFonts w:ascii="Times New Roman" w:hAnsi="Times New Roman"/>
                <w:sz w:val="18"/>
              </w:rPr>
              <w:t>2893</w:t>
            </w:r>
          </w:p>
        </w:tc>
      </w:tr>
      <w:tr>
        <w:tc>
          <w:tcPr>
            <w:tcW w:type="dxa" w:w="1289"/>
          </w:tcPr>
          <w:p>
            <w:r>
              <w:rPr>
                <w:rFonts w:ascii="Times New Roman" w:hAnsi="Times New Roman"/>
                <w:sz w:val="18"/>
              </w:rPr>
              <w:t>Dermatology</w:t>
            </w:r>
          </w:p>
        </w:tc>
        <w:tc>
          <w:tcPr>
            <w:tcW w:type="dxa" w:w="1289"/>
          </w:tcPr>
          <w:p>
            <w:pPr>
              <w:jc w:val="center"/>
            </w:pPr>
            <w:r>
              <w:rPr>
                <w:rFonts w:ascii="Times New Roman" w:hAnsi="Times New Roman"/>
                <w:sz w:val="18"/>
              </w:rPr>
              <w:t>8214</w:t>
            </w:r>
          </w:p>
        </w:tc>
        <w:tc>
          <w:tcPr>
            <w:tcW w:type="dxa" w:w="1289"/>
          </w:tcPr>
          <w:p>
            <w:pPr>
              <w:jc w:val="center"/>
            </w:pPr>
            <w:r>
              <w:rPr>
                <w:rFonts w:ascii="Times New Roman" w:hAnsi="Times New Roman"/>
                <w:sz w:val="18"/>
              </w:rPr>
              <w:t>10043</w:t>
            </w:r>
          </w:p>
        </w:tc>
        <w:tc>
          <w:tcPr>
            <w:tcW w:type="dxa" w:w="1289"/>
          </w:tcPr>
          <w:p>
            <w:pPr>
              <w:jc w:val="center"/>
            </w:pPr>
            <w:r>
              <w:rPr>
                <w:rFonts w:ascii="Times New Roman" w:hAnsi="Times New Roman"/>
                <w:sz w:val="18"/>
              </w:rPr>
              <w:t>1.10</w:t>
            </w:r>
          </w:p>
        </w:tc>
        <w:tc>
          <w:tcPr>
            <w:tcW w:type="dxa" w:w="1289"/>
          </w:tcPr>
          <w:p>
            <w:pPr>
              <w:jc w:val="center"/>
            </w:pPr>
            <w:r>
              <w:rPr>
                <w:rFonts w:ascii="Times New Roman" w:hAnsi="Times New Roman"/>
                <w:sz w:val="18"/>
              </w:rPr>
              <w:t>1.39</w:t>
            </w:r>
          </w:p>
        </w:tc>
        <w:tc>
          <w:tcPr>
            <w:tcW w:type="dxa" w:w="1289"/>
          </w:tcPr>
          <w:p>
            <w:pPr>
              <w:jc w:val="center"/>
            </w:pPr>
            <w:r>
              <w:rPr>
                <w:rFonts w:ascii="Times New Roman" w:hAnsi="Times New Roman"/>
                <w:sz w:val="18"/>
              </w:rPr>
              <w:t>3040</w:t>
            </w:r>
          </w:p>
        </w:tc>
        <w:tc>
          <w:tcPr>
            <w:tcW w:type="dxa" w:w="1289"/>
          </w:tcPr>
          <w:p>
            <w:pPr>
              <w:jc w:val="center"/>
            </w:pPr>
            <w:r>
              <w:rPr>
                <w:rFonts w:ascii="Times New Roman" w:hAnsi="Times New Roman"/>
                <w:sz w:val="18"/>
              </w:rPr>
              <w:t>3066</w:t>
            </w:r>
          </w:p>
        </w:tc>
      </w:tr>
      <w:tr>
        <w:tc>
          <w:tcPr>
            <w:tcW w:type="dxa" w:w="1289"/>
          </w:tcPr>
          <w:p>
            <w:r>
              <w:rPr>
                <w:rFonts w:ascii="Times New Roman" w:hAnsi="Times New Roman"/>
                <w:sz w:val="18"/>
              </w:rPr>
              <w:t>Anaesthesia</w:t>
            </w:r>
          </w:p>
        </w:tc>
        <w:tc>
          <w:tcPr>
            <w:tcW w:type="dxa" w:w="1289"/>
          </w:tcPr>
          <w:p>
            <w:pPr>
              <w:jc w:val="center"/>
            </w:pPr>
            <w:r>
              <w:rPr>
                <w:rFonts w:ascii="Times New Roman" w:hAnsi="Times New Roman"/>
                <w:sz w:val="18"/>
              </w:rPr>
              <w:t>7067</w:t>
            </w:r>
          </w:p>
        </w:tc>
        <w:tc>
          <w:tcPr>
            <w:tcW w:type="dxa" w:w="1289"/>
          </w:tcPr>
          <w:p>
            <w:pPr>
              <w:jc w:val="center"/>
            </w:pPr>
            <w:r>
              <w:rPr>
                <w:rFonts w:ascii="Times New Roman" w:hAnsi="Times New Roman"/>
                <w:sz w:val="18"/>
              </w:rPr>
              <w:t>10628</w:t>
            </w:r>
          </w:p>
        </w:tc>
        <w:tc>
          <w:tcPr>
            <w:tcW w:type="dxa" w:w="1289"/>
          </w:tcPr>
          <w:p>
            <w:pPr>
              <w:jc w:val="center"/>
            </w:pPr>
            <w:r>
              <w:rPr>
                <w:rFonts w:ascii="Times New Roman" w:hAnsi="Times New Roman"/>
                <w:sz w:val="18"/>
              </w:rPr>
              <w:t>1.13</w:t>
            </w:r>
          </w:p>
        </w:tc>
        <w:tc>
          <w:tcPr>
            <w:tcW w:type="dxa" w:w="1289"/>
          </w:tcPr>
          <w:p>
            <w:pPr>
              <w:jc w:val="center"/>
            </w:pPr>
            <w:r>
              <w:rPr>
                <w:rFonts w:ascii="Times New Roman" w:hAnsi="Times New Roman"/>
                <w:sz w:val="18"/>
              </w:rPr>
              <w:t>0.38</w:t>
            </w:r>
          </w:p>
        </w:tc>
        <w:tc>
          <w:tcPr>
            <w:tcW w:type="dxa" w:w="1289"/>
          </w:tcPr>
          <w:p>
            <w:pPr>
              <w:jc w:val="center"/>
            </w:pPr>
            <w:r>
              <w:rPr>
                <w:rFonts w:ascii="Times New Roman" w:hAnsi="Times New Roman"/>
                <w:sz w:val="18"/>
              </w:rPr>
              <w:t>2525</w:t>
            </w:r>
          </w:p>
        </w:tc>
        <w:tc>
          <w:tcPr>
            <w:tcW w:type="dxa" w:w="1289"/>
          </w:tcPr>
          <w:p>
            <w:pPr>
              <w:jc w:val="center"/>
            </w:pPr>
            <w:r>
              <w:rPr>
                <w:rFonts w:ascii="Times New Roman" w:hAnsi="Times New Roman"/>
                <w:sz w:val="18"/>
              </w:rPr>
              <w:t>2798</w:t>
            </w:r>
          </w:p>
        </w:tc>
      </w:tr>
    </w:tbl>
    <w:p/>
    <w:p>
      <w:pPr>
        <w:pStyle w:val="Heading2"/>
      </w:pPr>
      <w:r>
        <w:rPr>
          <w:rFonts w:ascii="Times New Roman" w:hAnsi="Times New Roman"/>
          <w:color w:val="000000"/>
        </w:rPr>
        <w:t>Primary association and equivalence</w:t>
      </w:r>
    </w:p>
    <w:p>
      <w:pPr>
        <w:spacing w:line="480" w:lineRule="auto" w:after="120"/>
      </w:pPr>
      <w:r>
        <w:rPr>
          <w:rFonts w:ascii="Times New Roman" w:hAnsi="Times New Roman"/>
          <w:b w:val="0"/>
          <w:i w:val="0"/>
          <w:sz w:val="24"/>
        </w:rPr>
        <w:t>The lagged litigation rate was not associated with biennial physician growth (coefficient -0.0009; 95% CI -0.0043 to +0.0025; p=0.56; n=96) or with hospital growth (coefficient +0.0003; 95% CI -0.0050 to +0.0056; p=0.90; n=96). Equivalence testing (Figure 1; Table 2) showed that a 1-SD higher litigation rate changed biennial physician growth by less than ±1% (TOST p=0.023; point estimate -0.21% with 90% CI -0.84% to +0.42%), and hospital growth by less than ±2% (p=0.002). The data thus support, rather than merely fail to reject, the absence of an effect of policy-relevant magnitude. Detailed TOST results by margin are reported in Supplementary Table 2.</w:t>
      </w:r>
    </w:p>
    <w:p>
      <w:pPr>
        <w:spacing w:line="480" w:lineRule="auto" w:after="120"/>
      </w:pPr>
      <w:r>
        <w:rPr>
          <w:rFonts w:ascii="Times New Roman" w:hAnsi="Times New Roman"/>
          <w:b w:val="0"/>
          <w:i w:val="0"/>
          <w:sz w:val="24"/>
        </w:rPr>
        <w:t>The narrowness of the confidence interval is itself informative: the physician estimate is tightly concentrated around zero, so the data discriminate sharply between a negligible effect and a modest one, rather than merely failing to find significance in a diffuse estimate.</w:t>
      </w:r>
    </w:p>
    <w:p>
      <w:pPr>
        <w:spacing w:before="280" w:after="120"/>
      </w:pPr>
      <w:r>
        <w:rPr>
          <w:rFonts w:ascii="Times New Roman" w:hAnsi="Times New Roman"/>
          <w:b/>
          <w:sz w:val="20"/>
        </w:rPr>
        <w:t>Figure 1. Equivalence (TOST) of the litigation-rate effect against ±1% (physicians) and ±2% (hospitals) margins; horizontal bars are 90% confidence intervals, matching the two one-sided 5% equivalence tests.</w:t>
      </w:r>
    </w:p>
    <w:p>
      <w:pPr>
        <w:jc w:val="center"/>
      </w:pPr>
      <w:r>
        <w:drawing>
          <wp:inline xmlns:a="http://schemas.openxmlformats.org/drawingml/2006/main" xmlns:pic="http://schemas.openxmlformats.org/drawingml/2006/picture">
            <wp:extent cx="5303520" cy="2357120"/>
            <wp:docPr id="1" name="Picture 1"/>
            <wp:cNvGraphicFramePr>
              <a:graphicFrameLocks noChangeAspect="1"/>
            </wp:cNvGraphicFramePr>
            <a:graphic>
              <a:graphicData uri="http://schemas.openxmlformats.org/drawingml/2006/picture">
                <pic:pic>
                  <pic:nvPicPr>
                    <pic:cNvPr id="0" name="hpm_Figure_1.png"/>
                    <pic:cNvPicPr/>
                  </pic:nvPicPr>
                  <pic:blipFill>
                    <a:blip r:embed="rId9"/>
                    <a:stretch>
                      <a:fillRect/>
                    </a:stretch>
                  </pic:blipFill>
                  <pic:spPr>
                    <a:xfrm>
                      <a:off x="0" y="0"/>
                      <a:ext cx="5303520" cy="2357120"/>
                    </a:xfrm>
                    <a:prstGeom prst="rect"/>
                  </pic:spPr>
                </pic:pic>
              </a:graphicData>
            </a:graphic>
          </wp:inline>
        </w:drawing>
      </w:r>
    </w:p>
    <w:p/>
    <w:p>
      <w:pPr>
        <w:spacing w:before="280" w:after="120"/>
      </w:pPr>
      <w:r>
        <w:rPr>
          <w:rFonts w:ascii="Times New Roman" w:hAnsi="Times New Roman"/>
          <w:b/>
          <w:sz w:val="20"/>
        </w:rPr>
        <w:t>Table 2. Panel fixed-effects models and sensitivity analyses.</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pPr>
              <w:jc w:val="center"/>
            </w:pPr>
            <w:r>
              <w:rPr>
                <w:rFonts w:ascii="Times New Roman" w:hAnsi="Times New Roman"/>
                <w:b/>
                <w:sz w:val="18"/>
              </w:rPr>
              <w:t>Model</w:t>
            </w:r>
          </w:p>
        </w:tc>
        <w:tc>
          <w:tcPr>
            <w:tcW w:type="dxa" w:w="1805"/>
          </w:tcPr>
          <w:p>
            <w:pPr>
              <w:jc w:val="center"/>
            </w:pPr>
            <w:r>
              <w:rPr>
                <w:rFonts w:ascii="Times New Roman" w:hAnsi="Times New Roman"/>
                <w:b/>
                <w:sz w:val="18"/>
              </w:rPr>
              <w:t>Coefficient</w:t>
            </w:r>
          </w:p>
        </w:tc>
        <w:tc>
          <w:tcPr>
            <w:tcW w:type="dxa" w:w="1805"/>
          </w:tcPr>
          <w:p>
            <w:pPr>
              <w:jc w:val="center"/>
            </w:pPr>
            <w:r>
              <w:rPr>
                <w:rFonts w:ascii="Times New Roman" w:hAnsi="Times New Roman"/>
                <w:b/>
                <w:sz w:val="18"/>
              </w:rPr>
              <w:t>95% CI</w:t>
            </w:r>
          </w:p>
        </w:tc>
        <w:tc>
          <w:tcPr>
            <w:tcW w:type="dxa" w:w="1805"/>
          </w:tcPr>
          <w:p>
            <w:pPr>
              <w:jc w:val="center"/>
            </w:pPr>
            <w:r>
              <w:rPr>
                <w:rFonts w:ascii="Times New Roman" w:hAnsi="Times New Roman"/>
                <w:b/>
                <w:sz w:val="18"/>
              </w:rPr>
              <w:t>p</w:t>
            </w:r>
          </w:p>
        </w:tc>
        <w:tc>
          <w:tcPr>
            <w:tcW w:type="dxa" w:w="1805"/>
          </w:tcPr>
          <w:p>
            <w:pPr>
              <w:jc w:val="center"/>
            </w:pPr>
            <w:r>
              <w:rPr>
                <w:rFonts w:ascii="Times New Roman" w:hAnsi="Times New Roman"/>
                <w:b/>
                <w:sz w:val="18"/>
              </w:rPr>
              <w:t>n</w:t>
            </w:r>
          </w:p>
        </w:tc>
      </w:tr>
      <w:tr>
        <w:tc>
          <w:tcPr>
            <w:tcW w:type="dxa" w:w="1805"/>
          </w:tcPr>
          <w:p>
            <w:r>
              <w:rPr>
                <w:rFonts w:ascii="Times New Roman" w:hAnsi="Times New Roman"/>
                <w:sz w:val="18"/>
              </w:rPr>
              <w:t>Physician growth ~ lagged rate</w:t>
            </w:r>
          </w:p>
        </w:tc>
        <w:tc>
          <w:tcPr>
            <w:tcW w:type="dxa" w:w="1805"/>
          </w:tcPr>
          <w:p>
            <w:pPr>
              <w:jc w:val="center"/>
            </w:pPr>
            <w:r>
              <w:rPr>
                <w:rFonts w:ascii="Times New Roman" w:hAnsi="Times New Roman"/>
                <w:sz w:val="18"/>
              </w:rPr>
              <w:t>-0.0009</w:t>
            </w:r>
          </w:p>
        </w:tc>
        <w:tc>
          <w:tcPr>
            <w:tcW w:type="dxa" w:w="1805"/>
          </w:tcPr>
          <w:p>
            <w:pPr>
              <w:jc w:val="center"/>
            </w:pPr>
            <w:r>
              <w:rPr>
                <w:rFonts w:ascii="Times New Roman" w:hAnsi="Times New Roman"/>
                <w:sz w:val="18"/>
              </w:rPr>
              <w:t>-0.0043, +0.0025</w:t>
            </w:r>
          </w:p>
        </w:tc>
        <w:tc>
          <w:tcPr>
            <w:tcW w:type="dxa" w:w="1805"/>
          </w:tcPr>
          <w:p>
            <w:pPr>
              <w:jc w:val="center"/>
            </w:pPr>
            <w:r>
              <w:rPr>
                <w:rFonts w:ascii="Times New Roman" w:hAnsi="Times New Roman"/>
                <w:sz w:val="18"/>
              </w:rPr>
              <w:t>0.56</w:t>
            </w:r>
          </w:p>
        </w:tc>
        <w:tc>
          <w:tcPr>
            <w:tcW w:type="dxa" w:w="1805"/>
          </w:tcPr>
          <w:p>
            <w:pPr>
              <w:jc w:val="center"/>
            </w:pPr>
            <w:r>
              <w:rPr>
                <w:rFonts w:ascii="Times New Roman" w:hAnsi="Times New Roman"/>
                <w:sz w:val="18"/>
              </w:rPr>
              <w:t>96</w:t>
            </w:r>
          </w:p>
        </w:tc>
      </w:tr>
      <w:tr>
        <w:tc>
          <w:tcPr>
            <w:tcW w:type="dxa" w:w="1805"/>
          </w:tcPr>
          <w:p>
            <w:r>
              <w:rPr>
                <w:rFonts w:ascii="Times New Roman" w:hAnsi="Times New Roman"/>
                <w:sz w:val="18"/>
              </w:rPr>
              <w:t>Hospital growth ~ lagged rate</w:t>
            </w:r>
          </w:p>
        </w:tc>
        <w:tc>
          <w:tcPr>
            <w:tcW w:type="dxa" w:w="1805"/>
          </w:tcPr>
          <w:p>
            <w:pPr>
              <w:jc w:val="center"/>
            </w:pPr>
            <w:r>
              <w:rPr>
                <w:rFonts w:ascii="Times New Roman" w:hAnsi="Times New Roman"/>
                <w:sz w:val="18"/>
              </w:rPr>
              <w:t>+0.0003</w:t>
            </w:r>
          </w:p>
        </w:tc>
        <w:tc>
          <w:tcPr>
            <w:tcW w:type="dxa" w:w="1805"/>
          </w:tcPr>
          <w:p>
            <w:pPr>
              <w:jc w:val="center"/>
            </w:pPr>
            <w:r>
              <w:rPr>
                <w:rFonts w:ascii="Times New Roman" w:hAnsi="Times New Roman"/>
                <w:sz w:val="18"/>
              </w:rPr>
              <w:t>-0.0050, +0.0056</w:t>
            </w:r>
          </w:p>
        </w:tc>
        <w:tc>
          <w:tcPr>
            <w:tcW w:type="dxa" w:w="1805"/>
          </w:tcPr>
          <w:p>
            <w:pPr>
              <w:jc w:val="center"/>
            </w:pPr>
            <w:r>
              <w:rPr>
                <w:rFonts w:ascii="Times New Roman" w:hAnsi="Times New Roman"/>
                <w:sz w:val="18"/>
              </w:rPr>
              <w:t>0.90</w:t>
            </w:r>
          </w:p>
        </w:tc>
        <w:tc>
          <w:tcPr>
            <w:tcW w:type="dxa" w:w="1805"/>
          </w:tcPr>
          <w:p>
            <w:pPr>
              <w:jc w:val="center"/>
            </w:pPr>
            <w:r>
              <w:rPr>
                <w:rFonts w:ascii="Times New Roman" w:hAnsi="Times New Roman"/>
                <w:sz w:val="18"/>
              </w:rPr>
              <w:t>96</w:t>
            </w:r>
          </w:p>
        </w:tc>
      </w:tr>
      <w:tr>
        <w:tc>
          <w:tcPr>
            <w:tcW w:type="dxa" w:w="1805"/>
          </w:tcPr>
          <w:p>
            <w:r>
              <w:rPr>
                <w:rFonts w:ascii="Times New Roman" w:hAnsi="Times New Roman"/>
                <w:sz w:val="18"/>
              </w:rPr>
              <w:t>Counts contrast (physician)</w:t>
            </w:r>
          </w:p>
        </w:tc>
        <w:tc>
          <w:tcPr>
            <w:tcW w:type="dxa" w:w="1805"/>
          </w:tcPr>
          <w:p>
            <w:pPr>
              <w:jc w:val="center"/>
            </w:pPr>
            <w:r>
              <w:rPr>
                <w:rFonts w:ascii="Times New Roman" w:hAnsi="Times New Roman"/>
                <w:sz w:val="18"/>
              </w:rPr>
              <w:t>+0.0002</w:t>
            </w:r>
          </w:p>
        </w:tc>
        <w:tc>
          <w:tcPr>
            <w:tcW w:type="dxa" w:w="1805"/>
          </w:tcPr>
          <w:p>
            <w:pPr>
              <w:jc w:val="center"/>
            </w:pPr>
            <w:r>
              <w:rPr>
                <w:rFonts w:ascii="Times New Roman" w:hAnsi="Times New Roman"/>
                <w:sz w:val="18"/>
              </w:rPr>
              <w:t>-0.0005, +0.0009</w:t>
            </w:r>
          </w:p>
        </w:tc>
        <w:tc>
          <w:tcPr>
            <w:tcW w:type="dxa" w:w="1805"/>
          </w:tcPr>
          <w:p>
            <w:pPr>
              <w:jc w:val="center"/>
            </w:pPr>
            <w:r>
              <w:rPr>
                <w:rFonts w:ascii="Times New Roman" w:hAnsi="Times New Roman"/>
                <w:sz w:val="18"/>
              </w:rPr>
              <w:t>0.51</w:t>
            </w:r>
          </w:p>
        </w:tc>
        <w:tc>
          <w:tcPr>
            <w:tcW w:type="dxa" w:w="1805"/>
          </w:tcPr>
          <w:p>
            <w:pPr>
              <w:jc w:val="center"/>
            </w:pPr>
            <w:r>
              <w:rPr>
                <w:rFonts w:ascii="Times New Roman" w:hAnsi="Times New Roman"/>
                <w:sz w:val="18"/>
              </w:rPr>
              <w:t>96</w:t>
            </w:r>
          </w:p>
        </w:tc>
      </w:tr>
      <w:tr>
        <w:tc>
          <w:tcPr>
            <w:tcW w:type="dxa" w:w="1805"/>
          </w:tcPr>
          <w:p>
            <w:r>
              <w:rPr>
                <w:rFonts w:ascii="Times New Roman" w:hAnsi="Times New Roman"/>
                <w:sz w:val="18"/>
              </w:rPr>
              <w:t>Annual hospital (sensitivity)</w:t>
            </w:r>
          </w:p>
        </w:tc>
        <w:tc>
          <w:tcPr>
            <w:tcW w:type="dxa" w:w="1805"/>
          </w:tcPr>
          <w:p>
            <w:pPr>
              <w:jc w:val="center"/>
            </w:pPr>
            <w:r>
              <w:rPr>
                <w:rFonts w:ascii="Times New Roman" w:hAnsi="Times New Roman"/>
                <w:sz w:val="18"/>
              </w:rPr>
              <w:t>+0.0000</w:t>
            </w:r>
          </w:p>
        </w:tc>
        <w:tc>
          <w:tcPr>
            <w:tcW w:type="dxa" w:w="1805"/>
          </w:tcPr>
          <w:p>
            <w:pPr>
              <w:jc w:val="center"/>
            </w:pPr>
            <w:r>
              <w:rPr>
                <w:rFonts w:ascii="Times New Roman" w:hAnsi="Times New Roman"/>
                <w:sz w:val="18"/>
              </w:rPr>
              <w:t>-0.0038, +0.0038</w:t>
            </w:r>
          </w:p>
        </w:tc>
        <w:tc>
          <w:tcPr>
            <w:tcW w:type="dxa" w:w="1805"/>
          </w:tcPr>
          <w:p>
            <w:pPr>
              <w:jc w:val="center"/>
            </w:pPr>
            <w:r>
              <w:rPr>
                <w:rFonts w:ascii="Times New Roman" w:hAnsi="Times New Roman"/>
                <w:sz w:val="18"/>
              </w:rPr>
              <w:t>0.99</w:t>
            </w:r>
          </w:p>
        </w:tc>
        <w:tc>
          <w:tcPr>
            <w:tcW w:type="dxa" w:w="1805"/>
          </w:tcPr>
          <w:p>
            <w:pPr>
              <w:jc w:val="center"/>
            </w:pPr>
            <w:r>
              <w:rPr>
                <w:rFonts w:ascii="Times New Roman" w:hAnsi="Times New Roman"/>
                <w:sz w:val="18"/>
              </w:rPr>
              <w:t>192</w:t>
            </w:r>
          </w:p>
        </w:tc>
      </w:tr>
      <w:tr>
        <w:tc>
          <w:tcPr>
            <w:tcW w:type="dxa" w:w="1805"/>
          </w:tcPr>
          <w:p>
            <w:r>
              <w:rPr>
                <w:rFonts w:ascii="Times New Roman" w:hAnsi="Times New Roman"/>
                <w:sz w:val="18"/>
              </w:rPr>
              <w:t>Interpolated physician (sensitivity)</w:t>
            </w:r>
          </w:p>
        </w:tc>
        <w:tc>
          <w:tcPr>
            <w:tcW w:type="dxa" w:w="1805"/>
          </w:tcPr>
          <w:p>
            <w:pPr>
              <w:jc w:val="center"/>
            </w:pPr>
            <w:r>
              <w:rPr>
                <w:rFonts w:ascii="Times New Roman" w:hAnsi="Times New Roman"/>
                <w:sz w:val="18"/>
              </w:rPr>
              <w:t>-0.0010</w:t>
            </w:r>
          </w:p>
        </w:tc>
        <w:tc>
          <w:tcPr>
            <w:tcW w:type="dxa" w:w="1805"/>
          </w:tcPr>
          <w:p>
            <w:pPr>
              <w:jc w:val="center"/>
            </w:pPr>
            <w:r>
              <w:rPr>
                <w:rFonts w:ascii="Times New Roman" w:hAnsi="Times New Roman"/>
                <w:sz w:val="18"/>
              </w:rPr>
              <w:t>-0.0033, +0.0014</w:t>
            </w:r>
          </w:p>
        </w:tc>
        <w:tc>
          <w:tcPr>
            <w:tcW w:type="dxa" w:w="1805"/>
          </w:tcPr>
          <w:p>
            <w:pPr>
              <w:jc w:val="center"/>
            </w:pPr>
            <w:r>
              <w:rPr>
                <w:rFonts w:ascii="Times New Roman" w:hAnsi="Times New Roman"/>
                <w:sz w:val="18"/>
              </w:rPr>
              <w:t>0.39</w:t>
            </w:r>
          </w:p>
        </w:tc>
        <w:tc>
          <w:tcPr>
            <w:tcW w:type="dxa" w:w="1805"/>
          </w:tcPr>
          <w:p>
            <w:pPr>
              <w:jc w:val="center"/>
            </w:pPr>
            <w:r>
              <w:rPr>
                <w:rFonts w:ascii="Times New Roman" w:hAnsi="Times New Roman"/>
                <w:sz w:val="18"/>
              </w:rPr>
              <w:t>192</w:t>
            </w:r>
          </w:p>
        </w:tc>
      </w:tr>
      <w:tr>
        <w:tc>
          <w:tcPr>
            <w:tcW w:type="dxa" w:w="1805"/>
          </w:tcPr>
          <w:p>
            <w:r>
              <w:rPr>
                <w:rFonts w:ascii="Times New Roman" w:hAnsi="Times New Roman"/>
                <w:sz w:val="18"/>
              </w:rPr>
              <w:t>Reverse (workforce→litigation)</w:t>
            </w:r>
          </w:p>
        </w:tc>
        <w:tc>
          <w:tcPr>
            <w:tcW w:type="dxa" w:w="1805"/>
          </w:tcPr>
          <w:p>
            <w:pPr>
              <w:jc w:val="center"/>
            </w:pPr>
            <w:r>
              <w:rPr>
                <w:rFonts w:ascii="Times New Roman" w:hAnsi="Times New Roman"/>
                <w:sz w:val="18"/>
              </w:rPr>
              <w:t>+0.097</w:t>
            </w:r>
          </w:p>
        </w:tc>
        <w:tc>
          <w:tcPr>
            <w:tcW w:type="dxa" w:w="1805"/>
          </w:tcPr>
          <w:p>
            <w:pPr>
              <w:jc w:val="center"/>
            </w:pPr>
            <w:r>
              <w:rPr>
                <w:rFonts w:ascii="Times New Roman" w:hAnsi="Times New Roman"/>
                <w:sz w:val="18"/>
              </w:rPr>
              <w:t>-1.000, +1.193</w:t>
            </w:r>
          </w:p>
        </w:tc>
        <w:tc>
          <w:tcPr>
            <w:tcW w:type="dxa" w:w="1805"/>
          </w:tcPr>
          <w:p>
            <w:pPr>
              <w:jc w:val="center"/>
            </w:pPr>
            <w:r>
              <w:rPr>
                <w:rFonts w:ascii="Times New Roman" w:hAnsi="Times New Roman"/>
                <w:sz w:val="18"/>
              </w:rPr>
              <w:t>0.85</w:t>
            </w:r>
          </w:p>
        </w:tc>
        <w:tc>
          <w:tcPr>
            <w:tcW w:type="dxa" w:w="1805"/>
          </w:tcPr>
          <w:p>
            <w:pPr>
              <w:jc w:val="center"/>
            </w:pPr>
            <w:r>
              <w:rPr>
                <w:rFonts w:ascii="Times New Roman" w:hAnsi="Times New Roman"/>
                <w:sz w:val="18"/>
              </w:rPr>
              <w:t>96</w:t>
            </w:r>
          </w:p>
        </w:tc>
      </w:tr>
    </w:tbl>
    <w:p/>
    <w:p>
      <w:pPr>
        <w:pStyle w:val="Heading2"/>
      </w:pPr>
      <w:r>
        <w:rPr>
          <w:rFonts w:ascii="Times New Roman" w:hAnsi="Times New Roman"/>
          <w:color w:val="000000"/>
        </w:rPr>
        <w:t>Counts versus rates, and confounders</w:t>
      </w:r>
    </w:p>
    <w:p>
      <w:pPr>
        <w:spacing w:line="480" w:lineRule="auto" w:after="120"/>
      </w:pPr>
      <w:r>
        <w:rPr>
          <w:rFonts w:ascii="Times New Roman" w:hAnsi="Times New Roman"/>
          <w:b w:val="0"/>
          <w:i w:val="0"/>
          <w:sz w:val="24"/>
        </w:rPr>
        <w:t>Using raw litigation counts rather than rates did not recover a negative association in this measured-only design (p=0.51). Figure 2 illustrates the difference between the two exposure definitions: a count exposure is confounded by specialty size (panel a), whereas the size-adjusted rate is not (panel b). The annual hospital and the interpolated annual physician sensitivity analyses were also null (p=0.99 and p=0.39), illustrating the importance of exposure scaling and of restricting the analysis to measured observations. In practical terms, panel (a) shows that specialties with more physicians simply generate more claims, so a count exposure largely re-expresses specialty size; panel (b) shows that once exposure is expressed per physician, high-growth and low-growth intervals are interleaved across the exposure range. The JOCS-CP indicator was positively associated with obstetric hospital growth (coefficient +0.024; 95% CI +0.006, +0.042; p=0.013); this is an exploratory association that cannot isolate the compensation scheme from contemporaneous obstetric policies or secular change.</w:t>
      </w:r>
    </w:p>
    <w:p>
      <w:pPr>
        <w:spacing w:before="280" w:after="120"/>
      </w:pPr>
      <w:r>
        <w:rPr>
          <w:rFonts w:ascii="Times New Roman" w:hAnsi="Times New Roman"/>
          <w:b/>
          <w:sz w:val="20"/>
        </w:rPr>
        <w:t>Figure 2. Biennial physician growth against lagged litigation exposure measured as (a) counts and (b) rates.</w:t>
      </w:r>
    </w:p>
    <w:p>
      <w:pPr>
        <w:jc w:val="center"/>
      </w:pPr>
      <w:r>
        <w:drawing>
          <wp:inline xmlns:a="http://schemas.openxmlformats.org/drawingml/2006/main" xmlns:pic="http://schemas.openxmlformats.org/drawingml/2006/picture">
            <wp:extent cx="5303520" cy="2410691"/>
            <wp:docPr id="2" name="Picture 2"/>
            <wp:cNvGraphicFramePr>
              <a:graphicFrameLocks noChangeAspect="1"/>
            </wp:cNvGraphicFramePr>
            <a:graphic>
              <a:graphicData uri="http://schemas.openxmlformats.org/drawingml/2006/picture">
                <pic:pic>
                  <pic:nvPicPr>
                    <pic:cNvPr id="0" name="hpm_Figure_2.png"/>
                    <pic:cNvPicPr/>
                  </pic:nvPicPr>
                  <pic:blipFill>
                    <a:blip r:embed="rId10"/>
                    <a:stretch>
                      <a:fillRect/>
                    </a:stretch>
                  </pic:blipFill>
                  <pic:spPr>
                    <a:xfrm>
                      <a:off x="0" y="0"/>
                      <a:ext cx="5303520" cy="2410691"/>
                    </a:xfrm>
                    <a:prstGeom prst="rect"/>
                  </pic:spPr>
                </pic:pic>
              </a:graphicData>
            </a:graphic>
          </wp:inline>
        </w:drawing>
      </w:r>
    </w:p>
    <w:p/>
    <w:p>
      <w:pPr>
        <w:spacing w:line="480" w:lineRule="auto" w:after="120"/>
      </w:pPr>
      <w:r>
        <w:rPr>
          <w:rFonts w:ascii="Times New Roman" w:hAnsi="Times New Roman"/>
          <w:b w:val="0"/>
          <w:i w:val="0"/>
          <w:sz w:val="24"/>
        </w:rPr>
        <w:t>Descriptively, per-specialty rank correlations between the lagged litigation rate and physician growth were positive in 10 of 12 specialties and statistically significant in 0; the direction is therefore, if anything, opposite to a flight-from-risk hypothesis.</w:t>
      </w:r>
    </w:p>
    <w:p>
      <w:pPr>
        <w:spacing w:line="480" w:lineRule="auto" w:after="120"/>
      </w:pPr>
      <w:r>
        <w:rPr>
          <w:rFonts w:ascii="Times New Roman" w:hAnsi="Times New Roman"/>
          <w:b w:val="0"/>
          <w:i w:val="0"/>
          <w:sz w:val="24"/>
        </w:rPr>
        <w:t>A reverse specification (change in litigation rate regressed on lagged log physicians) was also null (coefficient +0.097, p=0.85; Table 2), making a reverse-causation interpretation of the null unlikely.</w:t>
      </w:r>
    </w:p>
    <w:p>
      <w:pPr>
        <w:spacing w:line="480" w:lineRule="auto" w:after="120"/>
      </w:pPr>
      <w:r>
        <w:rPr>
          <w:rFonts w:ascii="Times New Roman" w:hAnsi="Times New Roman"/>
          <w:b w:val="0"/>
          <w:i w:val="0"/>
          <w:sz w:val="24"/>
        </w:rPr>
        <w:t>We also evaluated the JMSR medical accident investigation report counts as a potential confounder or competing exposure.</w:t>
      </w:r>
      <w:r>
        <w:rPr>
          <w:rFonts w:ascii="Times New Roman" w:hAnsi="Times New Roman"/>
          <w:sz w:val="24"/>
          <w:vertAlign w:val="superscript"/>
        </w:rPr>
        <w:t>11</w:t>
      </w:r>
      <w:r>
        <w:rPr>
          <w:rFonts w:ascii="Times New Roman" w:hAnsi="Times New Roman"/>
          <w:b w:val="0"/>
          <w:i w:val="0"/>
          <w:sz w:val="24"/>
        </w:rPr>
        <w:t xml:space="preserve"> Over 2015-2024, raw litigation and JMSR report counts were strongly correlated across specialties (Pearson r=0.82), because large specialties generate more of both; however, after removing specialty-specific levels and trends the within-specialty correlation was negligible (r=-0.02). A model of annual hospital growth for 2016-2024 that included both the lagged litigation rate and the lagged JMSR report rate left the litigation coefficient essentially unchanged (coefficient +0.0021; 95% CI -0.0020, +0.0062; p=0.28) and the JMSR term was not associated with hospital growth (p=0.66; Supplementary Table 3). Thus, the null litigation result is not explained by, nor masked by, broader medical accident reporting.</w:t>
      </w:r>
    </w:p>
    <w:p>
      <w:pPr>
        <w:spacing w:line="480" w:lineRule="auto" w:after="120"/>
      </w:pPr>
      <w:r>
        <w:rPr>
          <w:rFonts w:ascii="Times New Roman" w:hAnsi="Times New Roman"/>
          <w:b w:val="0"/>
          <w:i w:val="0"/>
          <w:sz w:val="24"/>
        </w:rPr>
        <w:t>Finally, we tested national newspaper coverage from Nikkei Telecom 21 as a potential confounder.</w:t>
      </w:r>
      <w:r>
        <w:rPr>
          <w:rFonts w:ascii="Times New Roman" w:hAnsi="Times New Roman"/>
          <w:sz w:val="24"/>
          <w:vertAlign w:val="superscript"/>
        </w:rPr>
        <w:t>12</w:t>
      </w:r>
      <w:r>
        <w:rPr>
          <w:rFonts w:ascii="Times New Roman" w:hAnsi="Times New Roman"/>
          <w:b w:val="0"/>
          <w:i w:val="0"/>
          <w:sz w:val="24"/>
        </w:rPr>
        <w:t xml:space="preserve"> Total annual article counts (keywords: medical accident + medical malpractice) and total litigation counts were correlated (Pearson r=0.81), consistent with the public salience of high-litigation years; however, within the annual hospital panel the lagged litigation rate and the media-count series were only weakly correlated. A model of annual hospital growth for 2009-2018 that included both the lagged litigation rate and the lagged article count (per 1,000 articles) left the litigation coefficient essentially unchanged (coefficient -0.0003; 95% CI -0.0021, +0.0015; p=0.72) and the media term was not associated with hospital growth (p=0.21; Supplementary Table 4). Media coverage therefore does not account for the null litigation effect either.</w:t>
      </w:r>
    </w:p>
    <w:p>
      <w:pPr>
        <w:pStyle w:val="Heading1"/>
      </w:pPr>
      <w:r>
        <w:rPr>
          <w:rFonts w:ascii="Times New Roman" w:hAnsi="Times New Roman"/>
          <w:color w:val="000000"/>
        </w:rPr>
        <w:t>Discussion</w:t>
      </w:r>
    </w:p>
    <w:p>
      <w:pPr>
        <w:spacing w:line="480" w:lineRule="auto" w:after="120"/>
      </w:pPr>
      <w:r>
        <w:rPr>
          <w:rFonts w:ascii="Times New Roman" w:hAnsi="Times New Roman"/>
          <w:b w:val="0"/>
          <w:i w:val="0"/>
          <w:sz w:val="24"/>
        </w:rPr>
        <w:t>Across 12 specialties over 16 years, higher litigation rates were not followed by lower physician or hospital supply. More importantly, equivalence testing turned the conventional null into a positive statement: a 1-SD higher litigation rate was statistically equivalent to a change smaller than ±1% in biennial physician growth and ±2% in hospital growth. Litigation exposure alone is therefore unlikely to explain specialty-level workforce change of a magnitude relevant to national workforce planning in this setting.</w:t>
      </w:r>
    </w:p>
    <w:p>
      <w:pPr>
        <w:spacing w:line="480" w:lineRule="auto" w:after="120"/>
      </w:pPr>
      <w:r>
        <w:rPr>
          <w:rFonts w:ascii="Times New Roman" w:hAnsi="Times New Roman"/>
          <w:b w:val="0"/>
          <w:i w:val="0"/>
          <w:sz w:val="24"/>
        </w:rPr>
        <w:t>The distinction matters. A non-significant coefficient is compatible with effects too small to detect and with no effect at all; an equivalence test bounds the plausible effect within a stated margin. What our data exclude is a specialty-level association larger than roughly one per cent of biennial physician growth per 1-SD litigation rate; they do not exclude smaller effects, effects on individual career decisions, or effects operating through channels we do not measure.</w:t>
      </w:r>
    </w:p>
    <w:p>
      <w:pPr>
        <w:spacing w:line="480" w:lineRule="auto" w:after="120"/>
      </w:pPr>
      <w:r>
        <w:rPr>
          <w:rFonts w:ascii="Times New Roman" w:hAnsi="Times New Roman"/>
          <w:b w:val="0"/>
          <w:i w:val="0"/>
          <w:sz w:val="24"/>
        </w:rPr>
        <w:t>More broadly, the analysis narrows the plausible contribution of litigation to specialty-level workforce change: rather than merely failing to detect an association, it places an empirical bound on the magnitude that such an association could reasonably take within this setting. This illustrates the value of equivalence-based inference for workforce-policy questions in which ruling out effects of practically important magnitude may be more informative than testing only for statistical departure from zero. Three design features support that reading for a health-services audience: the exposure is scaled to specialty size, removing the mechanical count–size link that can produce spurious associations; the outcome is restricted to measured biennial observations rather than interpolated values, so nominal degrees of freedom are not inflated; and the equivalence analysis directly evaluates practical magnitude despite the limited number of specialty clusters.</w:t>
      </w:r>
    </w:p>
    <w:p>
      <w:pPr>
        <w:spacing w:line="480" w:lineRule="auto" w:after="120"/>
      </w:pPr>
      <w:r>
        <w:rPr>
          <w:rFonts w:ascii="Times New Roman" w:hAnsi="Times New Roman"/>
          <w:b w:val="0"/>
          <w:i w:val="0"/>
          <w:sz w:val="24"/>
        </w:rPr>
        <w:t>For health-services workforce planning, the implication is that specialty maldistribution is likely shaped by multiple structural determinants—remuneration, training pipelines, workload and working conditions, and geographic incentives—and that routine civil-litigation exposure contributes at most a small share of measured supply change. This does not mean litigation has no effect on behaviour, defensive practice, stress, or individual specialty preference; it means its aggregate footprint on specialty-level supply is small relative to a planning-relevant margin.</w:t>
      </w:r>
    </w:p>
    <w:p>
      <w:pPr>
        <w:spacing w:line="480" w:lineRule="auto" w:after="120"/>
      </w:pPr>
      <w:r>
        <w:rPr>
          <w:rFonts w:ascii="Times New Roman" w:hAnsi="Times New Roman"/>
          <w:b w:val="0"/>
          <w:i w:val="0"/>
          <w:sz w:val="24"/>
        </w:rPr>
        <w:t>International evidence on tort reform and physician supply is consistent with a small, heterogeneous effect. Matsa found that U.S. state damage caps increased the supply of frontier rural specialists by 10-12 percent but did not affect supply for the average resident.</w:t>
      </w:r>
      <w:r>
        <w:rPr>
          <w:rFonts w:ascii="Times New Roman" w:hAnsi="Times New Roman"/>
          <w:sz w:val="24"/>
          <w:vertAlign w:val="superscript"/>
        </w:rPr>
        <w:t>14</w:t>
      </w:r>
      <w:r>
        <w:rPr>
          <w:rFonts w:ascii="Times New Roman" w:hAnsi="Times New Roman"/>
          <w:b w:val="0"/>
          <w:i w:val="0"/>
          <w:sz w:val="24"/>
        </w:rPr>
        <w:t xml:space="preserve"> Hyman and colleagues found no measurable increase in physician supply after the 2003 Texas reforms.</w:t>
      </w:r>
      <w:r>
        <w:rPr>
          <w:rFonts w:ascii="Times New Roman" w:hAnsi="Times New Roman"/>
          <w:sz w:val="24"/>
          <w:vertAlign w:val="superscript"/>
        </w:rPr>
        <w:t>15</w:t>
      </w:r>
      <w:r>
        <w:rPr>
          <w:rFonts w:ascii="Times New Roman" w:hAnsi="Times New Roman"/>
          <w:b w:val="0"/>
          <w:i w:val="0"/>
          <w:sz w:val="24"/>
        </w:rPr>
        <w:t xml:space="preserve"> Frakes and colleagues reported localised, modest compositional shifts after negligence-standard reforms,</w:t>
      </w:r>
      <w:r>
        <w:rPr>
          <w:rFonts w:ascii="Times New Roman" w:hAnsi="Times New Roman"/>
          <w:sz w:val="24"/>
          <w:vertAlign w:val="superscript"/>
        </w:rPr>
        <w:t>16</w:t>
      </w:r>
      <w:r>
        <w:rPr>
          <w:rFonts w:ascii="Times New Roman" w:hAnsi="Times New Roman"/>
          <w:b w:val="0"/>
          <w:i w:val="0"/>
          <w:sz w:val="24"/>
        </w:rPr>
        <w:t xml:space="preserve"> and a systematic review concludes that effects are heterogeneous across states and specialties.</w:t>
      </w:r>
      <w:r>
        <w:rPr>
          <w:rFonts w:ascii="Times New Roman" w:hAnsi="Times New Roman"/>
          <w:sz w:val="24"/>
          <w:vertAlign w:val="superscript"/>
        </w:rPr>
        <w:t>17</w:t>
      </w:r>
      <w:r>
        <w:rPr>
          <w:rFonts w:ascii="Times New Roman" w:hAnsi="Times New Roman"/>
          <w:b w:val="0"/>
          <w:i w:val="0"/>
          <w:sz w:val="24"/>
        </w:rPr>
        <w:t xml:space="preserve"> These studies concern U.S. liability reforms; they are not directly transportable to Japan, but they bound the plausible size of litigation effects on supply.</w:t>
      </w:r>
    </w:p>
    <w:p>
      <w:pPr>
        <w:spacing w:line="480" w:lineRule="auto" w:after="120"/>
      </w:pPr>
      <w:r>
        <w:rPr>
          <w:rFonts w:ascii="Times New Roman" w:hAnsi="Times New Roman"/>
          <w:b w:val="0"/>
          <w:i w:val="0"/>
          <w:sz w:val="24"/>
        </w:rPr>
        <w:t>Litigation risk can also shift clinical behaviour without changing physician counts. U.S. evidence links malpractice reforms to reduced defensive spending,</w:t>
      </w:r>
      <w:r>
        <w:rPr>
          <w:rFonts w:ascii="Times New Roman" w:hAnsi="Times New Roman"/>
          <w:sz w:val="24"/>
          <w:vertAlign w:val="superscript"/>
        </w:rPr>
        <w:t>18</w:t>
      </w:r>
      <w:r>
        <w:rPr>
          <w:rFonts w:ascii="Times New Roman" w:hAnsi="Times New Roman"/>
          <w:b w:val="0"/>
          <w:i w:val="0"/>
          <w:sz w:val="24"/>
        </w:rPr>
        <w:t xml:space="preserve"> though the magnitude is debated; physicians can respond to liability pressure by changing how they practise rather than by exiting a specialty.</w:t>
      </w:r>
      <w:r>
        <w:rPr>
          <w:rFonts w:ascii="Times New Roman" w:hAnsi="Times New Roman"/>
          <w:sz w:val="24"/>
          <w:vertAlign w:val="superscript"/>
        </w:rPr>
        <w:t>19</w:t>
      </w:r>
      <w:r>
        <w:rPr>
          <w:rFonts w:ascii="Times New Roman" w:hAnsi="Times New Roman"/>
          <w:b w:val="0"/>
          <w:i w:val="0"/>
          <w:sz w:val="24"/>
        </w:rPr>
        <w:t xml:space="preserve"> In Japan, fee-for-service reimbursement rewards the high-acuity procedural work that also carries litigation exposure, so the financial return to remaining in such specialties may dominate any deterrent from civil claims.</w:t>
      </w:r>
    </w:p>
    <w:p>
      <w:pPr>
        <w:spacing w:line="480" w:lineRule="auto" w:after="120"/>
      </w:pPr>
      <w:r>
        <w:rPr>
          <w:rFonts w:ascii="Times New Roman" w:hAnsi="Times New Roman"/>
          <w:b w:val="0"/>
          <w:i w:val="0"/>
          <w:sz w:val="24"/>
        </w:rPr>
        <w:t>Japan's civil-litigation context itself is comparatively low-volume and settlement-prone: among closed malpractice claims reported by the Supreme Court between 2006 and 2021, more than half ended in settlement, plaintiffs won about a quarter of judgments, and claim numbers have declined, especially in obstetrics and gynaecology.</w:t>
      </w:r>
      <w:r>
        <w:rPr>
          <w:rFonts w:ascii="Times New Roman" w:hAnsi="Times New Roman"/>
          <w:sz w:val="24"/>
          <w:vertAlign w:val="superscript"/>
        </w:rPr>
        <w:t>20</w:t>
      </w:r>
      <w:r>
        <w:rPr>
          <w:rFonts w:ascii="Times New Roman" w:hAnsi="Times New Roman"/>
          <w:b w:val="0"/>
          <w:i w:val="0"/>
          <w:sz w:val="24"/>
        </w:rPr>
        <w:t xml:space="preserve"> Routine civil claims of this kind are distinct from criminal prosecution and high-salience events: Morita found that a criminal prosecution of an obstetrician was followed by a 13 percent decline in obstetricians,</w:t>
      </w:r>
      <w:r>
        <w:rPr>
          <w:rFonts w:ascii="Times New Roman" w:hAnsi="Times New Roman"/>
          <w:sz w:val="24"/>
          <w:vertAlign w:val="superscript"/>
        </w:rPr>
        <w:t>21</w:t>
      </w:r>
      <w:r>
        <w:rPr>
          <w:rFonts w:ascii="Times New Roman" w:hAnsi="Times New Roman"/>
          <w:b w:val="0"/>
          <w:i w:val="0"/>
          <w:sz w:val="24"/>
        </w:rPr>
        <w:t xml:space="preserve"> and a Japan–U.S. comparison links falling obstetric claim rates to the JOCS-CP scheme, guidelines and investigation systems rather than to litigation reduction alone.</w:t>
      </w:r>
      <w:r>
        <w:rPr>
          <w:rFonts w:ascii="Times New Roman" w:hAnsi="Times New Roman"/>
          <w:sz w:val="24"/>
          <w:vertAlign w:val="superscript"/>
        </w:rPr>
        <w:t>22</w:t>
      </w:r>
      <w:r>
        <w:rPr>
          <w:rFonts w:ascii="Times New Roman" w:hAnsi="Times New Roman"/>
          <w:b w:val="0"/>
          <w:i w:val="0"/>
          <w:sz w:val="24"/>
        </w:rPr>
        <w:t xml:space="preserve"> Surveys of OB/GYN residents in Japan, Korea and Taiwan likewise report litigation as a negative but secondary factor behind workload, lifestyle and professional interest.</w:t>
      </w:r>
      <w:r>
        <w:rPr>
          <w:rFonts w:ascii="Times New Roman" w:hAnsi="Times New Roman"/>
          <w:sz w:val="24"/>
          <w:vertAlign w:val="superscript"/>
        </w:rPr>
        <w:t>23</w:t>
      </w:r>
    </w:p>
    <w:p>
      <w:pPr>
        <w:spacing w:line="480" w:lineRule="auto" w:after="120"/>
      </w:pPr>
      <w:r>
        <w:rPr>
          <w:rFonts w:ascii="Times New Roman" w:hAnsi="Times New Roman"/>
          <w:b w:val="0"/>
          <w:i w:val="0"/>
          <w:sz w:val="24"/>
        </w:rPr>
        <w:t>The Japan Obstetric Compensation System for Cerebral Palsy (2009) combined no-fault compensation with investigation and prevention in a specialty facing obstetrician shortages.</w:t>
      </w:r>
      <w:r>
        <w:rPr>
          <w:rFonts w:ascii="Times New Roman" w:hAnsi="Times New Roman"/>
          <w:sz w:val="24"/>
          <w:vertAlign w:val="superscript"/>
        </w:rPr>
        <w:t>24</w:t>
      </w:r>
      <w:r>
        <w:rPr>
          <w:rFonts w:ascii="Times New Roman" w:hAnsi="Times New Roman"/>
          <w:b w:val="0"/>
          <w:i w:val="0"/>
          <w:sz w:val="24"/>
        </w:rPr>
        <w:t xml:space="preserve"> The positive JOCS-CP-period coefficient in our hospital-growth model is an exploratory association and cannot isolate the compensation scheme from contemporaneous obstetric policies or secular change; it should not be read as evidence that no-fault compensation increases hospital supply.</w:t>
      </w:r>
    </w:p>
    <w:p>
      <w:pPr>
        <w:pStyle w:val="Heading2"/>
      </w:pPr>
      <w:r>
        <w:rPr>
          <w:rFonts w:ascii="Times New Roman" w:hAnsi="Times New Roman"/>
          <w:color w:val="000000"/>
        </w:rPr>
        <w:t>Policy implications</w:t>
      </w:r>
    </w:p>
    <w:p>
      <w:pPr>
        <w:spacing w:line="480" w:lineRule="auto" w:after="120"/>
      </w:pPr>
      <w:r>
        <w:rPr>
          <w:rFonts w:ascii="Times New Roman" w:hAnsi="Times New Roman"/>
          <w:b w:val="0"/>
          <w:i w:val="0"/>
          <w:sz w:val="24"/>
        </w:rPr>
        <w:t>These findings suggest that workforce planning should not assume that reducing routine civil-litigation exposure alone will materially increase specialty supply. Evaluation of other structural determinants—including remuneration, training pipelines, workload, geographic incentives and compensation arrangements—remains necessary. No-fault systems such as New Zealand's and the Nordic administrative schemes offer compensation without a protracted adversarial process and may be worth evaluating for Japan,</w:t>
      </w:r>
      <w:r>
        <w:rPr>
          <w:rFonts w:ascii="Times New Roman" w:hAnsi="Times New Roman"/>
          <w:sz w:val="24"/>
          <w:vertAlign w:val="superscript"/>
        </w:rPr>
        <w:t>25-26</w:t>
      </w:r>
      <w:r>
        <w:rPr>
          <w:rFonts w:ascii="Times New Roman" w:hAnsi="Times New Roman"/>
          <w:b w:val="0"/>
          <w:i w:val="0"/>
          <w:sz w:val="24"/>
        </w:rPr>
        <w:t xml:space="preserve"> but this design cannot demonstrate that any such intervention is superior. Litigation reform may still matter for defensive medicine, patient compensation and provider–patient trust; it is simply not, on the present evidence, a demonstrated lever on specialty supply. For a planning cycle that must allocate scarce attention, our bound argues for prioritising determinants whose plausible effects exceed the margin we can exclude for litigation.</w:t>
      </w:r>
    </w:p>
    <w:p>
      <w:pPr>
        <w:spacing w:line="480" w:lineRule="auto" w:after="120"/>
      </w:pPr>
      <w:r>
        <w:rPr>
          <w:rFonts w:ascii="Times New Roman" w:hAnsi="Times New Roman"/>
          <w:b w:val="0"/>
          <w:i w:val="0"/>
          <w:sz w:val="24"/>
        </w:rPr>
        <w:t>Future research should link individual-level or prefecture-level career data to local litigation, media and reimbursement environments, since specialty-level aggregates cannot observe risk perceptions or career intentions. Linking the claims data to prefecture-level postings or to trainee first-choice surveys would also test whether litigation operates at the margin of initial specialty choice—where deterrent effects are most plausible—rather than in aggregate counts.</w:t>
      </w:r>
    </w:p>
    <w:p>
      <w:pPr>
        <w:pStyle w:val="Heading2"/>
      </w:pPr>
      <w:r>
        <w:rPr>
          <w:rFonts w:ascii="Times New Roman" w:hAnsi="Times New Roman"/>
          <w:color w:val="000000"/>
        </w:rPr>
        <w:t>Limitations</w:t>
      </w:r>
    </w:p>
    <w:p>
      <w:pPr>
        <w:spacing w:line="480" w:lineRule="auto" w:after="120"/>
      </w:pPr>
      <w:r>
        <w:rPr>
          <w:rFonts w:ascii="Times New Roman" w:hAnsi="Times New Roman"/>
          <w:b w:val="0"/>
          <w:i w:val="0"/>
          <w:sz w:val="24"/>
        </w:rPr>
        <w:t>This is an ecological, specialty-level analysis and cannot infer individual career decisions. Inference rests on 12 specialty clusters and 9 measured biennial waves; cluster-robust errors do not remove all small-cluster concerns, residual power constraints remain, and the equivalence margins are substantive, researcher-chosen judgements rather than externally mandated thresholds. Closed claims are an exposure signal, not a measure of intrinsic incident risk or of perceived litigation risk.</w:t>
      </w:r>
      <w:r>
        <w:rPr>
          <w:rFonts w:ascii="Times New Roman" w:hAnsi="Times New Roman"/>
          <w:sz w:val="24"/>
          <w:vertAlign w:val="superscript"/>
        </w:rPr>
        <w:t>9</w:t>
      </w:r>
      <w:r>
        <w:rPr>
          <w:rFonts w:ascii="Times New Roman" w:hAnsi="Times New Roman"/>
          <w:b w:val="0"/>
          <w:i w:val="0"/>
          <w:sz w:val="24"/>
        </w:rPr>
        <w:t xml:space="preserve"> Specialty-specific litigation counts could be recovered only from 2008; clinic counts are published only every 3 years; JMSR report counts cover only 2015 onward; and media article counts are national totals that cannot be decomposed by specialty. Hospital counts are only one proxy for service capacity, residual confounding and policy co-interventions cannot be excluded, and the JOCS-CP indicator is not causally identified. Finally, the findings are embedded in Japan's particular legal, cultural and institutional context and should not be assumed to generalise to health systems with different liability regimes or compensation mechanisms.</w:t>
      </w:r>
    </w:p>
    <w:p>
      <w:pPr>
        <w:pStyle w:val="Heading1"/>
      </w:pPr>
      <w:r>
        <w:rPr>
          <w:rFonts w:ascii="Times New Roman" w:hAnsi="Times New Roman"/>
          <w:color w:val="000000"/>
        </w:rPr>
        <w:t>Conclusions</w:t>
      </w:r>
    </w:p>
    <w:p>
      <w:pPr>
        <w:spacing w:line="480" w:lineRule="auto" w:after="120"/>
      </w:pPr>
      <w:r>
        <w:rPr>
          <w:rFonts w:ascii="Times New Roman" w:hAnsi="Times New Roman"/>
          <w:b w:val="0"/>
          <w:i w:val="0"/>
          <w:sz w:val="24"/>
        </w:rPr>
        <w:t>Across 2008–2024, specialty-level malpractice-litigation exposure in Japan was not associated with physician or hospital decline, and the physician effect was statistically equivalent to a change within a small specified margin. The data argue against routine specialty-level malpractice litigation being a major determinant of national physician-supply change within the tested effect-size range in Japan.</w:t>
      </w:r>
    </w:p>
    <w:p>
      <w:pPr>
        <w:pStyle w:val="Heading1"/>
      </w:pPr>
      <w:r>
        <w:rPr>
          <w:rFonts w:ascii="Times New Roman" w:hAnsi="Times New Roman"/>
          <w:color w:val="000000"/>
        </w:rPr>
        <w:t>Declarations</w:t>
      </w:r>
    </w:p>
    <w:p>
      <w:pPr>
        <w:spacing w:line="480" w:lineRule="auto" w:after="120"/>
      </w:pPr>
      <w:r>
        <w:rPr>
          <w:rFonts w:ascii="Times New Roman" w:hAnsi="Times New Roman"/>
          <w:b w:val="0"/>
          <w:i w:val="0"/>
          <w:sz w:val="24"/>
        </w:rPr>
        <w:t>Declaration of conflicting interest: The author declared no potential conflicts of interest with respect to the research, authorship and/or publication of this article. Funding: The author received no financial support for the research, authorship and/or publication of this article. Ethical approval and consent to participate: Not applicable (secondary analysis of publicly available aggregate statistics). Consent for publication: Not applicable. Data availability: all primary data files, extraction scripts and analysis code are openly available in the project repository, enabling full reproduction of every reported number. Use of generative AI: generative AI-assisted coding tools (Cognition Devin) were used to assist with data-analysis code, figure generation and manuscript drafting; the author reviewed and edited the content and takes full responsibility for the publication. The tools are not listed as authors.</w:t>
      </w:r>
    </w:p>
    <w:p>
      <w:pPr>
        <w:pStyle w:val="Heading1"/>
      </w:pPr>
      <w:r>
        <w:rPr>
          <w:rFonts w:ascii="Times New Roman" w:hAnsi="Times New Roman"/>
          <w:color w:val="000000"/>
        </w:rPr>
        <w:t>References</w:t>
      </w:r>
    </w:p>
    <w:p>
      <w:pPr>
        <w:spacing w:line="360" w:lineRule="auto"/>
      </w:pPr>
      <w:r>
        <w:rPr>
          <w:rFonts w:ascii="Times New Roman" w:hAnsi="Times New Roman"/>
          <w:sz w:val="20"/>
        </w:rPr>
        <w:t>1. Ikesu R, Miyawaki A, Kobayashi Y. Physician distribution by specialty and practice setting: findings in Japan in 2000, 2010 and 2016. Tohoku J Exp Med 2020; 251(1): 1-8.</w:t>
      </w:r>
    </w:p>
    <w:p>
      <w:pPr>
        <w:spacing w:line="360" w:lineRule="auto"/>
      </w:pPr>
      <w:r>
        <w:rPr>
          <w:rFonts w:ascii="Times New Roman" w:hAnsi="Times New Roman"/>
          <w:sz w:val="20"/>
        </w:rPr>
        <w:t>2. Studdert DM, Mello MM, Brennan TA. Medical malpractice. N Engl J Med 2004; 350(3): 283-292.</w:t>
      </w:r>
    </w:p>
    <w:p>
      <w:pPr>
        <w:spacing w:line="360" w:lineRule="auto"/>
      </w:pPr>
      <w:r>
        <w:rPr>
          <w:rFonts w:ascii="Times New Roman" w:hAnsi="Times New Roman"/>
          <w:sz w:val="20"/>
        </w:rPr>
        <w:t>3. Hiyama T, Yoshihara M, Tanaka S, et al. Defensive medicine practices among gastroenterologists in Japan. World J Gastroenterol 2006; 12(47): 7671-7675.</w:t>
      </w:r>
    </w:p>
    <w:p>
      <w:pPr>
        <w:spacing w:line="360" w:lineRule="auto"/>
      </w:pPr>
      <w:r>
        <w:rPr>
          <w:rFonts w:ascii="Times New Roman" w:hAnsi="Times New Roman"/>
          <w:sz w:val="20"/>
        </w:rPr>
        <w:t>4. Lakens D. Equivalence tests: a practical primer for t tests, correlations, and meta-analyses. Soc Psychol Personal Sci 2017; 8(4): 355-362.</w:t>
      </w:r>
    </w:p>
    <w:p>
      <w:pPr>
        <w:spacing w:line="360" w:lineRule="auto"/>
      </w:pPr>
      <w:r>
        <w:rPr>
          <w:rFonts w:ascii="Times New Roman" w:hAnsi="Times New Roman"/>
          <w:sz w:val="20"/>
        </w:rPr>
        <w:t>5. Schuirmann DJ. A comparison of the two one-sided tests procedure and the power approach for assessing the equivalence of average bioavailability. J Pharmacokinet Biopharm 1987; 15(6): 657-680.</w:t>
      </w:r>
    </w:p>
    <w:p>
      <w:pPr>
        <w:spacing w:line="360" w:lineRule="auto"/>
      </w:pPr>
      <w:r>
        <w:rPr>
          <w:rFonts w:ascii="Times New Roman" w:hAnsi="Times New Roman"/>
          <w:sz w:val="20"/>
        </w:rPr>
        <w:t>6. Japan Council for Quality Health Care. Japan Obstetric Compensation System for Cerebral Palsy. Tokyo: Japan Council for Quality Health Care, 2009.</w:t>
      </w:r>
    </w:p>
    <w:p>
      <w:pPr>
        <w:spacing w:line="360" w:lineRule="auto"/>
      </w:pPr>
      <w:r>
        <w:rPr>
          <w:rFonts w:ascii="Times New Roman" w:hAnsi="Times New Roman"/>
          <w:sz w:val="20"/>
        </w:rPr>
        <w:t>7. von Elm E, Altman DG, Egger M, et al. The STROBE statement. Lancet 2007; 370(9596): 1453-1457.</w:t>
      </w:r>
    </w:p>
    <w:p>
      <w:pPr>
        <w:spacing w:line="360" w:lineRule="auto"/>
      </w:pPr>
      <w:r>
        <w:rPr>
          <w:rFonts w:ascii="Times New Roman" w:hAnsi="Times New Roman"/>
          <w:sz w:val="20"/>
        </w:rPr>
        <w:t>8. Ministry of Health, Labour and Welfare. Statistics of Physicians, Dentists and Pharmacists. Tokyo: MHLW.</w:t>
      </w:r>
    </w:p>
    <w:p>
      <w:pPr>
        <w:spacing w:line="360" w:lineRule="auto"/>
      </w:pPr>
      <w:r>
        <w:rPr>
          <w:rFonts w:ascii="Times New Roman" w:hAnsi="Times New Roman"/>
          <w:sz w:val="20"/>
        </w:rPr>
        <w:t>9. Supreme Court of Japan, Committee on Medical Litigation. Statistics on medical malpractice litigation (closed cases by specialty). Tokyo: Supreme Court of Japan.</w:t>
      </w:r>
    </w:p>
    <w:p>
      <w:pPr>
        <w:spacing w:line="360" w:lineRule="auto"/>
      </w:pPr>
      <w:r>
        <w:rPr>
          <w:rFonts w:ascii="Times New Roman" w:hAnsi="Times New Roman"/>
          <w:sz w:val="20"/>
        </w:rPr>
        <w:t>10. Ministry of Health, Labour and Welfare. Survey of Medical Institutions (Dynamic). Tokyo: MHLW.</w:t>
      </w:r>
    </w:p>
    <w:p>
      <w:pPr>
        <w:spacing w:line="360" w:lineRule="auto"/>
      </w:pPr>
      <w:r>
        <w:rPr>
          <w:rFonts w:ascii="Times New Roman" w:hAnsi="Times New Roman"/>
          <w:sz w:val="20"/>
        </w:rPr>
        <w:t>11. Act on the Promotion of Medical Safety; Medical Accident Investigation System (2015). Tokyo: MHLW.</w:t>
      </w:r>
    </w:p>
    <w:p>
      <w:pPr>
        <w:spacing w:line="360" w:lineRule="auto"/>
      </w:pPr>
      <w:r>
        <w:rPr>
          <w:rFonts w:ascii="Times New Roman" w:hAnsi="Times New Roman"/>
          <w:sz w:val="20"/>
        </w:rPr>
        <w:t>12. Nikkei Inc. Nikkei Telecom 21 (news and information database). Tokyo: Nikkei Inc. Accessed 2024.</w:t>
      </w:r>
    </w:p>
    <w:p>
      <w:pPr>
        <w:spacing w:line="360" w:lineRule="auto"/>
      </w:pPr>
      <w:r>
        <w:rPr>
          <w:rFonts w:ascii="Times New Roman" w:hAnsi="Times New Roman"/>
          <w:sz w:val="20"/>
        </w:rPr>
        <w:t>13. Angrist JD, Pischke JS. Mostly Harmless Econometrics. Princeton: Princeton University Press, 2009.</w:t>
      </w:r>
    </w:p>
    <w:p>
      <w:pPr>
        <w:spacing w:line="360" w:lineRule="auto"/>
      </w:pPr>
      <w:r>
        <w:rPr>
          <w:rFonts w:ascii="Times New Roman" w:hAnsi="Times New Roman"/>
          <w:sz w:val="20"/>
        </w:rPr>
        <w:t>14. Matsa DA. Does malpractice liability keep the doctor away? Evidence from tort reform damage caps. J Legal Stud 2007; 36(S2): S143-S182.</w:t>
      </w:r>
    </w:p>
    <w:p>
      <w:pPr>
        <w:spacing w:line="360" w:lineRule="auto"/>
      </w:pPr>
      <w:r>
        <w:rPr>
          <w:rFonts w:ascii="Times New Roman" w:hAnsi="Times New Roman"/>
          <w:sz w:val="20"/>
        </w:rPr>
        <w:t>15. Hyman DA, Silver C, Black B, Paik M. Does tort reform affect physician supply? Evidence from Texas. Int Rev Law Econ 2015; 42: 203-218.</w:t>
      </w:r>
    </w:p>
    <w:p>
      <w:pPr>
        <w:spacing w:line="360" w:lineRule="auto"/>
      </w:pPr>
      <w:r>
        <w:rPr>
          <w:rFonts w:ascii="Times New Roman" w:hAnsi="Times New Roman"/>
          <w:sz w:val="20"/>
        </w:rPr>
        <w:t>16. Frakes MD, Frank MB, Seabury SA. The effect of malpractice law on physician supply: evidence from negligence-standard reforms. J Health Econ 2020; 70: 102272.</w:t>
      </w:r>
    </w:p>
    <w:p>
      <w:pPr>
        <w:spacing w:line="360" w:lineRule="auto"/>
      </w:pPr>
      <w:r>
        <w:rPr>
          <w:rFonts w:ascii="Times New Roman" w:hAnsi="Times New Roman"/>
          <w:sz w:val="20"/>
        </w:rPr>
        <w:t>17. Helland E, Seabury SA. Tort reform and physician labor supply: a review of the evidence. Int Rev Law Econ 2015; 42: 192-202.</w:t>
      </w:r>
    </w:p>
    <w:p>
      <w:pPr>
        <w:spacing w:line="360" w:lineRule="auto"/>
      </w:pPr>
      <w:r>
        <w:rPr>
          <w:rFonts w:ascii="Times New Roman" w:hAnsi="Times New Roman"/>
          <w:sz w:val="20"/>
        </w:rPr>
        <w:t>18. Kessler DP, McClellan MB. Do doctors practice defensive medicine? Q J Econ 1996; 111(2): 353-390.</w:t>
      </w:r>
    </w:p>
    <w:p>
      <w:pPr>
        <w:spacing w:line="360" w:lineRule="auto"/>
      </w:pPr>
      <w:r>
        <w:rPr>
          <w:rFonts w:ascii="Times New Roman" w:hAnsi="Times New Roman"/>
          <w:sz w:val="20"/>
        </w:rPr>
        <w:t>19. Sloan FA, Shadle JH. Is there empirical evidence for "defensive medicine"? A reassessment. J Health Econ 2008; 27(2): 481-491.</w:t>
      </w:r>
    </w:p>
    <w:p>
      <w:pPr>
        <w:spacing w:line="360" w:lineRule="auto"/>
      </w:pPr>
      <w:r>
        <w:rPr>
          <w:rFonts w:ascii="Times New Roman" w:hAnsi="Times New Roman"/>
          <w:sz w:val="20"/>
        </w:rPr>
        <w:t>20. Taniguchi K, Watari T, Nagoshi K. Characteristics and trends of medical malpractice claims in Japan between 2006 and 2021. PLoS One 2023; 18(12): e0296155.</w:t>
      </w:r>
    </w:p>
    <w:p>
      <w:pPr>
        <w:spacing w:line="360" w:lineRule="auto"/>
      </w:pPr>
      <w:r>
        <w:rPr>
          <w:rFonts w:ascii="Times New Roman" w:hAnsi="Times New Roman"/>
          <w:sz w:val="20"/>
        </w:rPr>
        <w:t>21. Morita H. Criminal prosecution and physician supply. Int Rev Law Econ 2018; 55: 1-11.</w:t>
      </w:r>
    </w:p>
    <w:p>
      <w:pPr>
        <w:spacing w:line="360" w:lineRule="auto"/>
      </w:pPr>
      <w:r>
        <w:rPr>
          <w:rFonts w:ascii="Times New Roman" w:hAnsi="Times New Roman"/>
          <w:sz w:val="20"/>
        </w:rPr>
        <w:t>22. Kamijo K, Wada Y, Ishida K, Warsof SL, Saade G, Kawakita T. Medical-legal claims in obstetrics and gynecology: Japan versus the United States. J Healthc Risk Manag 2025; 44(4): 5-11.</w:t>
      </w:r>
    </w:p>
    <w:p>
      <w:pPr>
        <w:spacing w:line="360" w:lineRule="auto"/>
      </w:pPr>
      <w:r>
        <w:rPr>
          <w:rFonts w:ascii="Times New Roman" w:hAnsi="Times New Roman"/>
          <w:sz w:val="20"/>
        </w:rPr>
        <w:t>23. Lin PL, Huang JP, Fujii T, Cho EH, Huang MC. A survey of specialty choice among obstetrics and gynecology residents in Japan, Korea, and Taiwan. J Obstet Gynaecol Res 2022; 48(7): 1968-1977.</w:t>
      </w:r>
    </w:p>
    <w:p>
      <w:pPr>
        <w:spacing w:line="360" w:lineRule="auto"/>
      </w:pPr>
      <w:r>
        <w:rPr>
          <w:rFonts w:ascii="Times New Roman" w:hAnsi="Times New Roman"/>
          <w:sz w:val="20"/>
        </w:rPr>
        <w:t>24. Hasegawa J, Toyokawa S, Ikenoue T, et al. Relevant obstetric factors for cerebral palsy: from the Nationwide Obstetric Compensation System in Japan. PLoS One 2016; 11(1): e0148122.</w:t>
      </w:r>
    </w:p>
    <w:p>
      <w:pPr>
        <w:spacing w:line="360" w:lineRule="auto"/>
      </w:pPr>
      <w:r>
        <w:rPr>
          <w:rFonts w:ascii="Times New Roman" w:hAnsi="Times New Roman"/>
          <w:sz w:val="20"/>
        </w:rPr>
        <w:t>25. Bismark M, Paterson R. No-fault compensation in New Zealand: harmonizing injury compensation, provider accountability, and patient safety. Health Aff 2006; 25(1): 278-286.</w:t>
      </w:r>
    </w:p>
    <w:p>
      <w:pPr>
        <w:spacing w:line="360" w:lineRule="auto"/>
      </w:pPr>
      <w:r>
        <w:rPr>
          <w:rFonts w:ascii="Times New Roman" w:hAnsi="Times New Roman"/>
          <w:sz w:val="20"/>
        </w:rPr>
        <w:t>26. Mello MM, Kachalia A, Studdert DM. Administrative compensation for medical injuries: lessons from three foreign systems. New York: The Commonwealth Fund, 2011.</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Arial"/>
        <a:font script="Hang" typeface="Arial"/>
        <a:font script="Hans" typeface="Arial"/>
        <a:font script="Hant" typeface="Arial"/>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Arial"/>
        <a:font script="Hang" typeface="Arial"/>
        <a:font script="Hans" typeface="Arial"/>
        <a:font script="Hant" typeface="Arial"/>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