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  <w:color w:val="000000"/>
        </w:rPr>
        <w:t>Supplementary material (online supplement 1)</w:t>
      </w:r>
    </w:p>
    <w:p>
      <w:pPr>
        <w:spacing w:line="480" w:lineRule="auto" w:after="120"/>
      </w:pPr>
      <w:r>
        <w:rPr>
          <w:rFonts w:ascii="Times New Roman" w:hAnsi="Times New Roman"/>
          <w:b/>
          <w:i w:val="0"/>
          <w:sz w:val="24"/>
        </w:rPr>
        <w:t>Malpractice litigation, physician supply and service capacity in Japan, 2008–2024: a national equivalence analysis</w:t>
      </w:r>
    </w:p>
    <w:p>
      <w:pPr>
        <w:spacing w:line="480" w:lineRule="auto" w:after="120"/>
      </w:pPr>
      <w:r>
        <w:rPr>
          <w:rFonts w:ascii="Times New Roman" w:hAnsi="Times New Roman"/>
          <w:b w:val="0"/>
          <w:i w:val="0"/>
          <w:sz w:val="24"/>
        </w:rPr>
        <w:t>This file is the consolidated online supplement for the main manuscript and should be cited as online supplementary material.</w:t>
      </w:r>
    </w:p>
    <w:p>
      <w:pPr>
        <w:spacing w:line="480" w:lineRule="auto" w:after="120"/>
      </w:pPr>
      <w:r>
        <w:rPr>
          <w:rFonts w:ascii="Times New Roman" w:hAnsi="Times New Roman"/>
          <w:b w:val="0"/>
          <w:i w:val="0"/>
          <w:sz w:val="24"/>
        </w:rPr>
        <w:t>Supplementary Figure 1. Closed malpractice claims per 1,000 physicians by specialty, 2008–2024 (rates, not counts).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5356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pm_Supplementary_Figure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568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line="480" w:lineRule="auto" w:after="120"/>
      </w:pPr>
      <w:r>
        <w:rPr>
          <w:rFonts w:ascii="Times New Roman" w:hAnsi="Times New Roman"/>
          <w:b w:val="0"/>
          <w:i w:val="0"/>
          <w:sz w:val="24"/>
        </w:rPr>
        <w:t>Supplementary Figure 2. Physician workforce by specialty, indexed to 2008 (=100).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5356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pm_Supplementary_Figure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568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280" w:after="120"/>
      </w:pPr>
      <w:r>
        <w:rPr>
          <w:rFonts w:ascii="Times New Roman" w:hAnsi="Times New Roman"/>
          <w:b/>
          <w:sz w:val="20"/>
        </w:rPr>
        <w:t>Supplementary Table 1. Primary data sources and their resolution.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Series</w:t>
            </w:r>
          </w:p>
        </w:tc>
        <w:tc>
          <w:tcPr>
            <w:tcW w:type="dxa" w:w="180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Source</w:t>
            </w:r>
          </w:p>
        </w:tc>
        <w:tc>
          <w:tcPr>
            <w:tcW w:type="dxa" w:w="180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Resolution</w:t>
            </w:r>
          </w:p>
        </w:tc>
        <w:tc>
          <w:tcPr>
            <w:tcW w:type="dxa" w:w="180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Years</w:t>
            </w:r>
          </w:p>
        </w:tc>
        <w:tc>
          <w:tcPr>
            <w:tcW w:type="dxa" w:w="180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Role</w:t>
            </w:r>
          </w:p>
        </w:tc>
      </w:tr>
      <w:tr>
        <w:tc>
          <w:tcPr>
            <w:tcW w:type="dxa" w:w="1805"/>
          </w:tcPr>
          <w:p>
            <w:r>
              <w:rPr>
                <w:rFonts w:ascii="Times New Roman" w:hAnsi="Times New Roman"/>
                <w:sz w:val="18"/>
              </w:rPr>
              <w:t>Physicians by specialty</w:t>
            </w:r>
          </w:p>
        </w:tc>
        <w:tc>
          <w:tcPr>
            <w:tcW w:type="dxa" w:w="1805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MHLW Statistics of Physicians</w:t>
            </w:r>
          </w:p>
        </w:tc>
        <w:tc>
          <w:tcPr>
            <w:tcW w:type="dxa" w:w="1805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Biennial</w:t>
            </w:r>
          </w:p>
        </w:tc>
        <w:tc>
          <w:tcPr>
            <w:tcW w:type="dxa" w:w="1805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2004–2024</w:t>
            </w:r>
          </w:p>
        </w:tc>
        <w:tc>
          <w:tcPr>
            <w:tcW w:type="dxa" w:w="1805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Denominator &amp; outcome</w:t>
            </w:r>
          </w:p>
        </w:tc>
      </w:tr>
      <w:tr>
        <w:tc>
          <w:tcPr>
            <w:tcW w:type="dxa" w:w="1805"/>
          </w:tcPr>
          <w:p>
            <w:r>
              <w:rPr>
                <w:rFonts w:ascii="Times New Roman" w:hAnsi="Times New Roman"/>
                <w:sz w:val="18"/>
              </w:rPr>
              <w:t>Closed malpractice claims</w:t>
            </w:r>
          </w:p>
        </w:tc>
        <w:tc>
          <w:tcPr>
            <w:tcW w:type="dxa" w:w="1805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Supreme Court, by specialty</w:t>
            </w:r>
          </w:p>
        </w:tc>
        <w:tc>
          <w:tcPr>
            <w:tcW w:type="dxa" w:w="1805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Annual</w:t>
            </w:r>
          </w:p>
        </w:tc>
        <w:tc>
          <w:tcPr>
            <w:tcW w:type="dxa" w:w="1805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2008–2024</w:t>
            </w:r>
          </w:p>
        </w:tc>
        <w:tc>
          <w:tcPr>
            <w:tcW w:type="dxa" w:w="1805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Exposure (numerator)</w:t>
            </w:r>
          </w:p>
        </w:tc>
      </w:tr>
      <w:tr>
        <w:tc>
          <w:tcPr>
            <w:tcW w:type="dxa" w:w="1805"/>
          </w:tcPr>
          <w:p>
            <w:r>
              <w:rPr>
                <w:rFonts w:ascii="Times New Roman" w:hAnsi="Times New Roman"/>
                <w:sz w:val="18"/>
              </w:rPr>
              <w:t>Hospitals by specialty</w:t>
            </w:r>
          </w:p>
        </w:tc>
        <w:tc>
          <w:tcPr>
            <w:tcW w:type="dxa" w:w="1805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MHLW Survey of Medical Institutions</w:t>
            </w:r>
          </w:p>
        </w:tc>
        <w:tc>
          <w:tcPr>
            <w:tcW w:type="dxa" w:w="1805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Annual</w:t>
            </w:r>
          </w:p>
        </w:tc>
        <w:tc>
          <w:tcPr>
            <w:tcW w:type="dxa" w:w="1805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2008–2024</w:t>
            </w:r>
          </w:p>
        </w:tc>
        <w:tc>
          <w:tcPr>
            <w:tcW w:type="dxa" w:w="1805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Outcome</w:t>
            </w:r>
          </w:p>
        </w:tc>
      </w:tr>
      <w:tr>
        <w:tc>
          <w:tcPr>
            <w:tcW w:type="dxa" w:w="1805"/>
          </w:tcPr>
          <w:p>
            <w:r>
              <w:rPr>
                <w:rFonts w:ascii="Times New Roman" w:hAnsi="Times New Roman"/>
                <w:sz w:val="18"/>
              </w:rPr>
              <w:t>Clinics by specialty</w:t>
            </w:r>
          </w:p>
        </w:tc>
        <w:tc>
          <w:tcPr>
            <w:tcW w:type="dxa" w:w="1805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MHLW Survey (static)</w:t>
            </w:r>
          </w:p>
        </w:tc>
        <w:tc>
          <w:tcPr>
            <w:tcW w:type="dxa" w:w="1805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Every 3 years</w:t>
            </w:r>
          </w:p>
        </w:tc>
        <w:tc>
          <w:tcPr>
            <w:tcW w:type="dxa" w:w="1805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2008–2023</w:t>
            </w:r>
          </w:p>
        </w:tc>
        <w:tc>
          <w:tcPr>
            <w:tcW w:type="dxa" w:w="1805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Descriptive only</w:t>
            </w:r>
          </w:p>
        </w:tc>
      </w:tr>
      <w:tr>
        <w:tc>
          <w:tcPr>
            <w:tcW w:type="dxa" w:w="1805"/>
          </w:tcPr>
          <w:p>
            <w:r>
              <w:rPr>
                <w:rFonts w:ascii="Times New Roman" w:hAnsi="Times New Roman"/>
                <w:sz w:val="18"/>
              </w:rPr>
              <w:t>JMSR report counts</w:t>
            </w:r>
          </w:p>
        </w:tc>
        <w:tc>
          <w:tcPr>
            <w:tcW w:type="dxa" w:w="1805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JMSR / MAIS</w:t>
            </w:r>
          </w:p>
        </w:tc>
        <w:tc>
          <w:tcPr>
            <w:tcW w:type="dxa" w:w="1805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Annual</w:t>
            </w:r>
          </w:p>
        </w:tc>
        <w:tc>
          <w:tcPr>
            <w:tcW w:type="dxa" w:w="1805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2015–2024</w:t>
            </w:r>
          </w:p>
        </w:tc>
        <w:tc>
          <w:tcPr>
            <w:tcW w:type="dxa" w:w="1805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Sensitivity (2016-2024)</w:t>
            </w:r>
          </w:p>
        </w:tc>
      </w:tr>
      <w:tr>
        <w:tc>
          <w:tcPr>
            <w:tcW w:type="dxa" w:w="1805"/>
          </w:tcPr>
          <w:p>
            <w:r>
              <w:rPr>
                <w:rFonts w:ascii="Times New Roman" w:hAnsi="Times New Roman"/>
                <w:sz w:val="18"/>
              </w:rPr>
              <w:t>Newspaper article counts</w:t>
            </w:r>
          </w:p>
        </w:tc>
        <w:tc>
          <w:tcPr>
            <w:tcW w:type="dxa" w:w="1805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Nikkei Telecom 21</w:t>
            </w:r>
          </w:p>
        </w:tc>
        <w:tc>
          <w:tcPr>
            <w:tcW w:type="dxa" w:w="1805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Annual</w:t>
            </w:r>
          </w:p>
        </w:tc>
        <w:tc>
          <w:tcPr>
            <w:tcW w:type="dxa" w:w="1805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2008–2018</w:t>
            </w:r>
          </w:p>
        </w:tc>
        <w:tc>
          <w:tcPr>
            <w:tcW w:type="dxa" w:w="1805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Sensitivity (2009-2018)</w:t>
            </w:r>
          </w:p>
        </w:tc>
      </w:tr>
    </w:tbl>
    <w:p/>
    <w:p>
      <w:pPr>
        <w:spacing w:before="280" w:after="120"/>
      </w:pPr>
      <w:r>
        <w:rPr>
          <w:rFonts w:ascii="Times New Roman" w:hAnsi="Times New Roman"/>
          <w:b/>
          <w:sz w:val="20"/>
        </w:rPr>
        <w:t>Supplementary Table 2. Equivalence (TOST) results (effect per +1 SD litigation rate).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Outcome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Coef per SD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90% CI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Margin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TOST p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Equivalent</w:t>
            </w:r>
          </w:p>
        </w:tc>
      </w:tr>
      <w:tr>
        <w:tc>
          <w:tcPr>
            <w:tcW w:type="dxa" w:w="1504"/>
          </w:tcPr>
          <w:p>
            <w:r>
              <w:rPr>
                <w:rFonts w:ascii="Times New Roman" w:hAnsi="Times New Roman"/>
                <w:sz w:val="18"/>
              </w:rPr>
              <w:t>Physician growth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-0.21%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-0.84%, +0.42%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±1%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0.023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Yes</w:t>
            </w:r>
          </w:p>
        </w:tc>
      </w:tr>
      <w:tr>
        <w:tc>
          <w:tcPr>
            <w:tcW w:type="dxa" w:w="1504"/>
          </w:tcPr>
          <w:p>
            <w:r>
              <w:rPr>
                <w:rFonts w:ascii="Times New Roman" w:hAnsi="Times New Roman"/>
                <w:sz w:val="18"/>
              </w:rPr>
              <w:t>Physician growth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-0.21%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-0.84%, +0.42%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±2%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0.000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Yes</w:t>
            </w:r>
          </w:p>
        </w:tc>
      </w:tr>
      <w:tr>
        <w:tc>
          <w:tcPr>
            <w:tcW w:type="dxa" w:w="1504"/>
          </w:tcPr>
          <w:p>
            <w:r>
              <w:rPr>
                <w:rFonts w:ascii="Times New Roman" w:hAnsi="Times New Roman"/>
                <w:sz w:val="18"/>
              </w:rPr>
              <w:t>Hospital growth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+0.07%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-0.91%, +1.06%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±1%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0.059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No</w:t>
            </w:r>
          </w:p>
        </w:tc>
      </w:tr>
      <w:tr>
        <w:tc>
          <w:tcPr>
            <w:tcW w:type="dxa" w:w="1504"/>
          </w:tcPr>
          <w:p>
            <w:r>
              <w:rPr>
                <w:rFonts w:ascii="Times New Roman" w:hAnsi="Times New Roman"/>
                <w:sz w:val="18"/>
              </w:rPr>
              <w:t>Hospital growth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+0.07%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-0.91%, +1.06%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±2%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0.002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Yes</w:t>
            </w:r>
          </w:p>
        </w:tc>
      </w:tr>
    </w:tbl>
    <w:p/>
    <w:p>
      <w:pPr>
        <w:spacing w:before="280" w:after="120"/>
      </w:pPr>
      <w:r>
        <w:rPr>
          <w:rFonts w:ascii="Times New Roman" w:hAnsi="Times New Roman"/>
          <w:b/>
          <w:sz w:val="20"/>
        </w:rPr>
        <w:t>Supplementary Table 3. JMSR-adjusted annual hospital growth model (2016-2024) with both exposures entered simultaneously.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Exposure</w:t>
            </w:r>
          </w:p>
        </w:tc>
        <w:tc>
          <w:tcPr>
            <w:tcW w:type="dxa" w:w="225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Coefficient</w:t>
            </w:r>
          </w:p>
        </w:tc>
        <w:tc>
          <w:tcPr>
            <w:tcW w:type="dxa" w:w="225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p</w:t>
            </w:r>
          </w:p>
        </w:tc>
        <w:tc>
          <w:tcPr>
            <w:tcW w:type="dxa" w:w="225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</w:t>
            </w:r>
          </w:p>
        </w:tc>
      </w:tr>
      <w:tr>
        <w:tc>
          <w:tcPr>
            <w:tcW w:type="dxa" w:w="2256"/>
          </w:tcPr>
          <w:p>
            <w:r>
              <w:rPr>
                <w:rFonts w:ascii="Times New Roman" w:hAnsi="Times New Roman"/>
                <w:sz w:val="18"/>
              </w:rPr>
              <w:t>Lagged litigation rate</w:t>
            </w:r>
          </w:p>
        </w:tc>
        <w:tc>
          <w:tcPr>
            <w:tcW w:type="dxa" w:w="2256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+0.0021</w:t>
            </w:r>
          </w:p>
        </w:tc>
        <w:tc>
          <w:tcPr>
            <w:tcW w:type="dxa" w:w="2256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0.28</w:t>
            </w:r>
          </w:p>
        </w:tc>
        <w:tc>
          <w:tcPr>
            <w:tcW w:type="dxa" w:w="2256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108</w:t>
            </w:r>
          </w:p>
        </w:tc>
      </w:tr>
      <w:tr>
        <w:tc>
          <w:tcPr>
            <w:tcW w:type="dxa" w:w="2256"/>
          </w:tcPr>
          <w:p>
            <w:r>
              <w:rPr>
                <w:rFonts w:ascii="Times New Roman" w:hAnsi="Times New Roman"/>
                <w:sz w:val="18"/>
              </w:rPr>
              <w:t>Lagged JMSR report rate</w:t>
            </w:r>
          </w:p>
        </w:tc>
        <w:tc>
          <w:tcPr>
            <w:tcW w:type="dxa" w:w="2256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-0.0009</w:t>
            </w:r>
          </w:p>
        </w:tc>
        <w:tc>
          <w:tcPr>
            <w:tcW w:type="dxa" w:w="2256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0.66</w:t>
            </w:r>
          </w:p>
        </w:tc>
        <w:tc>
          <w:tcPr>
            <w:tcW w:type="dxa" w:w="2256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108</w:t>
            </w:r>
          </w:p>
        </w:tc>
      </w:tr>
    </w:tbl>
    <w:p/>
    <w:p>
      <w:pPr>
        <w:spacing w:before="280" w:after="120"/>
      </w:pPr>
      <w:r>
        <w:rPr>
          <w:rFonts w:ascii="Times New Roman" w:hAnsi="Times New Roman"/>
          <w:b/>
          <w:sz w:val="20"/>
        </w:rPr>
        <w:t>Supplementary Table 4. Media-adjusted annual hospital growth model (2009-2018) with a linear time trend; full year fixed effects are omitted because the national article-count series is collinear with them.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Exposure</w:t>
            </w:r>
          </w:p>
        </w:tc>
        <w:tc>
          <w:tcPr>
            <w:tcW w:type="dxa" w:w="225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Coefficient</w:t>
            </w:r>
          </w:p>
        </w:tc>
        <w:tc>
          <w:tcPr>
            <w:tcW w:type="dxa" w:w="225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p</w:t>
            </w:r>
          </w:p>
        </w:tc>
        <w:tc>
          <w:tcPr>
            <w:tcW w:type="dxa" w:w="225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</w:t>
            </w:r>
          </w:p>
        </w:tc>
      </w:tr>
      <w:tr>
        <w:tc>
          <w:tcPr>
            <w:tcW w:type="dxa" w:w="2256"/>
          </w:tcPr>
          <w:p>
            <w:r>
              <w:rPr>
                <w:rFonts w:ascii="Times New Roman" w:hAnsi="Times New Roman"/>
                <w:sz w:val="18"/>
              </w:rPr>
              <w:t>Lagged litigation rate</w:t>
            </w:r>
          </w:p>
        </w:tc>
        <w:tc>
          <w:tcPr>
            <w:tcW w:type="dxa" w:w="2256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-0.0003</w:t>
            </w:r>
          </w:p>
        </w:tc>
        <w:tc>
          <w:tcPr>
            <w:tcW w:type="dxa" w:w="2256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0.72</w:t>
            </w:r>
          </w:p>
        </w:tc>
        <w:tc>
          <w:tcPr>
            <w:tcW w:type="dxa" w:w="2256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120</w:t>
            </w:r>
          </w:p>
        </w:tc>
      </w:tr>
      <w:tr>
        <w:tc>
          <w:tcPr>
            <w:tcW w:type="dxa" w:w="2256"/>
          </w:tcPr>
          <w:p>
            <w:r>
              <w:rPr>
                <w:rFonts w:ascii="Times New Roman" w:hAnsi="Times New Roman"/>
                <w:sz w:val="18"/>
              </w:rPr>
              <w:t>Lagged media count (per 1,000 articles)</w:t>
            </w:r>
          </w:p>
        </w:tc>
        <w:tc>
          <w:tcPr>
            <w:tcW w:type="dxa" w:w="2256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-0.0014</w:t>
            </w:r>
          </w:p>
        </w:tc>
        <w:tc>
          <w:tcPr>
            <w:tcW w:type="dxa" w:w="2256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type="dxa" w:w="2256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120</w:t>
            </w:r>
          </w:p>
        </w:tc>
      </w:tr>
    </w:tbl>
    <w:p/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12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Arial"/>
        <a:font script="Hang" typeface="Arial"/>
        <a:font script="Hans" typeface="Arial"/>
        <a:font script="Hant" typeface="Arial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Arial"/>
        <a:font script="Hang" typeface="Arial"/>
        <a:font script="Hans" typeface="Arial"/>
        <a:font script="Hant" typeface="Arial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