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Tables</w:t>
      </w:r>
    </w:p>
    <w:p>
      <w:pPr>
        <w:spacing w:line="480" w:lineRule="auto" w:after="120"/>
      </w:pPr>
      <w:r>
        <w:rPr>
          <w:rFonts w:ascii="Times New Roman" w:hAnsi="Times New Roman"/>
          <w:b/>
          <w:i w:val="0"/>
          <w:sz w:val="24"/>
        </w:rPr>
        <w:t>Malpractice litigation, physician supply and service capacity in Japan, 2008–2024: a national equivalence analysis</w:t>
      </w:r>
    </w:p>
    <w:p>
      <w:pPr>
        <w:spacing w:before="280" w:after="120"/>
      </w:pPr>
      <w:r>
        <w:rPr>
          <w:rFonts w:ascii="Times New Roman" w:hAnsi="Times New Roman"/>
          <w:b/>
          <w:sz w:val="20"/>
        </w:rPr>
        <w:t>Table 1. Physicians, litigation rate (per 1,000 physicians) and hospitals by specialty, first and last waves.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Specialty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2008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2024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Lit. rate 2008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Lit. rate 2024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Hospitals 2008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Hospitals 2024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Internal medicine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102388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124010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7725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7163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Surgery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27525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26885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6.54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4994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4300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Orthopaedics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19273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22630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5.60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5094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4844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Plastic surgery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2520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5074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7.14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8.28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1475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Obstetrics &amp; gynaecology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11961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13908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8.28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1052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Paediatrics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15236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18009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2932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2446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Psychiatry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13534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17259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2.22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2618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2881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Ophthalmology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12627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13436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2501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2310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Otolaryngology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8936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9330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2039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1937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Urology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6324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8069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2.11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2893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Dermatology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8214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10043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3040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3066</w:t>
            </w:r>
          </w:p>
        </w:tc>
      </w:tr>
      <w:tr>
        <w:tc>
          <w:tcPr>
            <w:tcW w:type="dxa" w:w="1289"/>
          </w:tcPr>
          <w:p>
            <w:r>
              <w:rPr>
                <w:rFonts w:ascii="Times New Roman" w:hAnsi="Times New Roman"/>
                <w:sz w:val="18"/>
              </w:rPr>
              <w:t>Anaesthesia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7067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10628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1.13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2525</w:t>
            </w:r>
          </w:p>
        </w:tc>
        <w:tc>
          <w:tcPr>
            <w:tcW w:type="dxa" w:w="1289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Table 2. Panel fixed-effects models and sensitivity analyses.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Physician growth ~ lagged rate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-0.0043, +0.0025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Hospital growth ~ lagged rate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+0.0003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-0.0050, +0.0056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0.90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Counts contrast (physician)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+0.0002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-0.0005, +0.0009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Annual hospital (sensitivity)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+0.0000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-0.0038, +0.0038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Interpolated physician (sensitivity)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-0.0010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-0.0033, +0.0014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Reverse (workforce→litigation)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+0.097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-1.000, +1.193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