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sz w:val="30"/>
        </w:rPr>
        <w:t>Malpractice litigation, physician supply and service capacity in Japan, 2008–2024: a national equivalence analysis</w:t>
      </w:r>
    </w:p>
    <w:p>
      <w:r>
        <w:rPr>
          <w:rFonts w:ascii="Times New Roman" w:hAnsi="Times New Roman"/>
          <w:b/>
          <w:sz w:val="24"/>
        </w:rPr>
        <w:t>Article title</w:t>
      </w:r>
    </w:p>
    <w:p>
      <w:r>
        <w:rPr>
          <w:rFonts w:ascii="Times New Roman" w:hAnsi="Times New Roman"/>
          <w:b/>
          <w:sz w:val="24"/>
        </w:rPr>
        <w:t>Malpractice litigation, physician supply and service capacity in Japan, 2008–2024: a national equivalence analysis</w:t>
      </w:r>
    </w:p>
    <w:p>
      <w:r>
        <w:rPr>
          <w:rFonts w:ascii="Times New Roman" w:hAnsi="Times New Roman"/>
          <w:b/>
          <w:sz w:val="24"/>
        </w:rPr>
        <w:t>Running title</w:t>
      </w:r>
    </w:p>
    <w:p>
      <w:r>
        <w:rPr>
          <w:rFonts w:ascii="Times New Roman" w:hAnsi="Times New Roman"/>
          <w:b/>
          <w:sz w:val="24"/>
        </w:rPr>
        <w:t>Malpractice litigation and physician supply in Japan</w:t>
      </w:r>
    </w:p>
    <w:p>
      <w:r>
        <w:rPr>
          <w:rFonts w:ascii="Times New Roman" w:hAnsi="Times New Roman"/>
          <w:b/>
          <w:sz w:val="24"/>
        </w:rPr>
        <w:t>Authors</w:t>
      </w:r>
    </w:p>
    <w:p>
      <w:r>
        <w:rPr>
          <w:rFonts w:ascii="Times New Roman" w:hAnsi="Times New Roman"/>
          <w:b w:val="0"/>
          <w:sz w:val="24"/>
        </w:rPr>
        <w:t>Tatsuki Onishi</w:t>
      </w:r>
    </w:p>
    <w:p>
      <w:r>
        <w:rPr>
          <w:rFonts w:ascii="Times New Roman" w:hAnsi="Times New Roman"/>
          <w:b/>
          <w:sz w:val="24"/>
        </w:rPr>
        <w:t>Author affiliations</w:t>
      </w:r>
    </w:p>
    <w:p>
      <w:r>
        <w:rPr>
          <w:rFonts w:ascii="Times New Roman" w:hAnsi="Times New Roman"/>
          <w:b w:val="0"/>
          <w:sz w:val="24"/>
        </w:rPr>
        <w:t>Data Science AI Innovation Research Promotion Center, Shiga University, 1-1-1 Bamba, Hikone, Shiga 522-8522, Japan</w:t>
      </w:r>
    </w:p>
    <w:p>
      <w:r>
        <w:rPr>
          <w:rFonts w:ascii="Times New Roman" w:hAnsi="Times New Roman"/>
          <w:b/>
          <w:sz w:val="24"/>
        </w:rPr>
        <w:t>Corresponding author</w:t>
      </w:r>
    </w:p>
    <w:p>
      <w:r>
        <w:rPr>
          <w:rFonts w:ascii="Times New Roman" w:hAnsi="Times New Roman"/>
          <w:b w:val="0"/>
          <w:sz w:val="24"/>
        </w:rPr>
        <w:t>Tatsuki Onishi, Data Science AI Innovation Research Promotion Center, Shiga University, 1-1-1 Bamba, Hikone, Shiga 522-8522, Japan</w:t>
      </w:r>
    </w:p>
    <w:p>
      <w:r>
        <w:rPr>
          <w:rFonts w:ascii="Times New Roman" w:hAnsi="Times New Roman"/>
          <w:b w:val="0"/>
          <w:sz w:val="24"/>
        </w:rPr>
        <w:t>Email: bougtoir@gmail.com</w:t>
      </w:r>
    </w:p>
    <w:p>
      <w:r>
        <w:rPr>
          <w:rFonts w:ascii="Times New Roman" w:hAnsi="Times New Roman"/>
          <w:b w:val="0"/>
          <w:sz w:val="24"/>
        </w:rPr>
        <w:t>ORCID iD: 0000-0001-7261-9062</w:t>
      </w:r>
    </w:p>
    <w:p>
      <w:r>
        <w:rPr>
          <w:rFonts w:ascii="Times New Roman" w:hAnsi="Times New Roman"/>
          <w:b/>
          <w:sz w:val="24"/>
        </w:rPr>
        <w:t>Acknowledgements</w:t>
      </w:r>
    </w:p>
    <w:p>
      <w:r>
        <w:rPr>
          <w:rFonts w:ascii="Times New Roman" w:hAnsi="Times New Roman"/>
          <w:b w:val="0"/>
          <w:sz w:val="24"/>
        </w:rPr>
        <w:t>Generative AI-assisted coding tools (Cognition Devin) were used to assist with data-analysis code, figure generation and manuscript drafting; the author reviewed and edited the content and takes full responsibility for the publication. The tools are not listed as authors.</w:t>
      </w:r>
    </w:p>
    <w:p>
      <w:r>
        <w:rPr>
          <w:rFonts w:ascii="Times New Roman" w:hAnsi="Times New Roman"/>
          <w:b/>
          <w:sz w:val="24"/>
        </w:rPr>
        <w:t>Author contributions</w:t>
      </w:r>
    </w:p>
    <w:p>
      <w:r>
        <w:rPr>
          <w:rFonts w:ascii="Times New Roman" w:hAnsi="Times New Roman"/>
          <w:b w:val="0"/>
          <w:sz w:val="24"/>
        </w:rPr>
        <w:t>Tatsuki Onishi conceptualised the study, collected and curated the data, performed the formal analysis, wrote the original draft and approved the final manuscript.</w:t>
      </w:r>
    </w:p>
    <w:p>
      <w:r>
        <w:rPr>
          <w:rFonts w:ascii="Times New Roman" w:hAnsi="Times New Roman"/>
          <w:b/>
          <w:sz w:val="24"/>
        </w:rPr>
        <w:t>Statements and Declarations</w:t>
      </w:r>
    </w:p>
    <w:p>
      <w:r>
        <w:rPr>
          <w:rFonts w:ascii="Times New Roman" w:hAnsi="Times New Roman"/>
          <w:b/>
          <w:sz w:val="24"/>
        </w:rPr>
        <w:t>Ethical considerations</w:t>
      </w:r>
    </w:p>
    <w:p>
      <w:r>
        <w:rPr>
          <w:rFonts w:ascii="Times New Roman" w:hAnsi="Times New Roman"/>
          <w:b w:val="0"/>
          <w:sz w:val="24"/>
        </w:rPr>
        <w:t>Not applicable: secondary analysis of publicly available aggregate statistics; no human participants, human data or human tissue.</w:t>
      </w:r>
    </w:p>
    <w:p>
      <w:r>
        <w:rPr>
          <w:rFonts w:ascii="Times New Roman" w:hAnsi="Times New Roman"/>
          <w:b/>
          <w:sz w:val="24"/>
        </w:rPr>
        <w:t>Consent to participate</w:t>
      </w:r>
    </w:p>
    <w:p>
      <w:r>
        <w:rPr>
          <w:rFonts w:ascii="Times New Roman" w:hAnsi="Times New Roman"/>
          <w:b w:val="0"/>
          <w:sz w:val="24"/>
        </w:rPr>
        <w:t>Not applicable.</w:t>
      </w:r>
    </w:p>
    <w:p>
      <w:r>
        <w:rPr>
          <w:rFonts w:ascii="Times New Roman" w:hAnsi="Times New Roman"/>
          <w:b/>
          <w:sz w:val="24"/>
        </w:rPr>
        <w:t>Consent for publication</w:t>
      </w:r>
    </w:p>
    <w:p>
      <w:r>
        <w:rPr>
          <w:rFonts w:ascii="Times New Roman" w:hAnsi="Times New Roman"/>
          <w:b w:val="0"/>
          <w:sz w:val="24"/>
        </w:rPr>
        <w:t>Not applicable.</w:t>
      </w:r>
    </w:p>
    <w:p>
      <w:r>
        <w:rPr>
          <w:rFonts w:ascii="Times New Roman" w:hAnsi="Times New Roman"/>
          <w:b/>
          <w:sz w:val="24"/>
        </w:rPr>
        <w:t>Declaration of conflicting interest</w:t>
      </w:r>
    </w:p>
    <w:p>
      <w:r>
        <w:rPr>
          <w:rFonts w:ascii="Times New Roman" w:hAnsi="Times New Roman"/>
          <w:b w:val="0"/>
          <w:sz w:val="24"/>
        </w:rPr>
        <w:t>The author declared no potential conflicts of interest with respect to the research, authorship and/or publication of this article.</w:t>
      </w:r>
    </w:p>
    <w:p>
      <w:r>
        <w:rPr>
          <w:rFonts w:ascii="Times New Roman" w:hAnsi="Times New Roman"/>
          <w:b/>
          <w:sz w:val="24"/>
        </w:rPr>
        <w:t>Funding</w:t>
      </w:r>
    </w:p>
    <w:p>
      <w:r>
        <w:rPr>
          <w:rFonts w:ascii="Times New Roman" w:hAnsi="Times New Roman"/>
          <w:b w:val="0"/>
          <w:sz w:val="24"/>
        </w:rPr>
        <w:t>The author received no financial support for the research, authorship and/or publication of this article.</w:t>
      </w:r>
    </w:p>
    <w:p>
      <w:r>
        <w:rPr>
          <w:rFonts w:ascii="Times New Roman" w:hAnsi="Times New Roman"/>
          <w:b/>
          <w:sz w:val="24"/>
        </w:rPr>
        <w:t>Data availability</w:t>
      </w:r>
    </w:p>
    <w:p>
      <w:r>
        <w:rPr>
          <w:rFonts w:ascii="Times New Roman" w:hAnsi="Times New Roman"/>
          <w:b w:val="0"/>
          <w:sz w:val="24"/>
        </w:rPr>
        <w:t>All primary data files, extraction scripts and analysis code are openly available in the project repository, enabling full reproduction of every reported number.</w:t>
      </w:r>
    </w:p>
    <w:p>
      <w:r>
        <w:rPr>
          <w:rFonts w:ascii="Times New Roman" w:hAnsi="Times New Roman"/>
          <w:b/>
          <w:sz w:val="24"/>
        </w:rPr>
        <w:t>Additional information</w:t>
      </w:r>
    </w:p>
    <w:p>
      <w:r>
        <w:rPr>
          <w:rFonts w:ascii="Times New Roman" w:hAnsi="Times New Roman"/>
          <w:b w:val="0"/>
          <w:sz w:val="24"/>
        </w:rPr>
        <w:t>Keywords: physician supply; malpractice litigation; equivalence testing; workforce planning; health policy; Japan</w:t>
      </w:r>
    </w:p>
    <w:p>
      <w:r>
        <w:rPr>
          <w:rFonts w:ascii="Times New Roman" w:hAnsi="Times New Roman"/>
          <w:b w:val="0"/>
          <w:sz w:val="24"/>
        </w:rPr>
        <w:t>Article type: Research Article</w:t>
      </w:r>
    </w:p>
    <w:p>
      <w:r>
        <w:rPr>
          <w:rFonts w:ascii="Times New Roman" w:hAnsi="Times New Roman"/>
          <w:b w:val="0"/>
          <w:sz w:val="24"/>
        </w:rPr>
        <w:t>Word count (main text): approximately 3352 words (excluding abstract, references, tables and figures)</w:t>
      </w:r>
    </w:p>
    <w:p>
      <w:r>
        <w:rPr>
          <w:rFonts w:ascii="Times New Roman" w:hAnsi="Times New Roman"/>
          <w:b w:val="0"/>
          <w:sz w:val="24"/>
        </w:rPr>
        <w:t>Abstract word count: 205 words (&lt;=250)</w:t>
      </w:r>
    </w:p>
    <w:p>
      <w:r>
        <w:rPr>
          <w:rFonts w:ascii="Times New Roman" w:hAnsi="Times New Roman"/>
          <w:b w:val="0"/>
          <w:sz w:val="24"/>
        </w:rPr>
        <w:t>Tables: 2   Figures: 2   Online supplement: 1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