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[Date]</w:t>
      </w:r>
    </w:p>
    <w:p/>
    <w:p>
      <w:r>
        <w:rPr>
          <w:rFonts w:ascii="Times New Roman" w:hAnsi="Times New Roman"/>
          <w:sz w:val="24"/>
        </w:rPr>
        <w:t>The Editors-in-Chief</w:t>
      </w:r>
    </w:p>
    <w:p>
      <w:r>
        <w:rPr>
          <w:rFonts w:ascii="Times New Roman" w:hAnsi="Times New Roman"/>
          <w:sz w:val="24"/>
        </w:rPr>
        <w:t>Health Policy and Technology</w:t>
      </w:r>
    </w:p>
    <w:p/>
    <w:p>
      <w:r>
        <w:rPr>
          <w:rFonts w:ascii="Times New Roman" w:hAnsi="Times New Roman"/>
          <w:sz w:val="24"/>
        </w:rPr>
        <w:t>Dear Editor,</w:t>
      </w:r>
    </w:p>
    <w:p>
      <w:pPr>
        <w:spacing w:after="160" w:line="360" w:lineRule="auto"/>
      </w:pPr>
      <w:r>
        <w:rPr>
          <w:rFonts w:ascii="Times New Roman" w:hAnsi="Times New Roman"/>
          <w:sz w:val="22"/>
        </w:rPr>
        <w:t>We submit an original research article, "Litigation risk and specialty-level physician and hospital supply in Japan, 2008–2024: a rate-based analysis with equivalence testing", for consideration by Health Policy and Technology. The manuscript file is hpt_manuscript_en.docx, prepared in Microsoft Word (.docx) format; tables, figure legends, figures (TIFF/PPTX), highlights and supplementary material are provided as separate files.</w:t>
      </w:r>
    </w:p>
    <w:p>
      <w:pPr>
        <w:spacing w:after="160" w:line="360" w:lineRule="auto"/>
      </w:pPr>
      <w:r>
        <w:rPr>
          <w:rFonts w:ascii="Times New Roman" w:hAnsi="Times New Roman"/>
          <w:sz w:val="22"/>
        </w:rPr>
        <w:t>Japan is a high-income country outside the United States with a rapidly ageing population and a widely debated maldistribution of physicians across specialties. Using national primary data for 12 clinical specialties, we test whether malpractice-litigation risk is associated with subsequent decline in the physician workforce and in hospitals offering each specialty.</w:t>
      </w:r>
    </w:p>
    <w:p>
      <w:pPr>
        <w:spacing w:after="160" w:line="360" w:lineRule="auto"/>
      </w:pPr>
      <w:r>
        <w:rPr>
          <w:rFonts w:ascii="Times New Roman" w:hAnsi="Times New Roman"/>
          <w:sz w:val="22"/>
        </w:rPr>
        <w:t>Crucially, we express exposure as a rate (closed claims per 1,000 physicians) to remove specialty-size confounding, analyse only measured biennial physician observations rather than interpolated annual values, and apply equivalence (TOST) testing. We find no association between litigation risk and workforce or hospital change; the effect is statistically equivalent to a null within a small, pre-specified margin. The common intuition that physicians avoid high-litigation specialties is not supported. We show that count-based associations can arise from size confounding and from treating interpolated years as independent observations, and we discuss how structural incentives—notably no-fault obstetric compensation (JOCS-CP)—may sustain the specialty workforce.</w:t>
      </w:r>
    </w:p>
    <w:p>
      <w:pPr>
        <w:spacing w:after="160" w:line="360" w:lineRule="auto"/>
      </w:pPr>
      <w:r>
        <w:rPr>
          <w:rFonts w:ascii="Times New Roman" w:hAnsi="Times New Roman"/>
          <w:sz w:val="22"/>
        </w:rPr>
        <w:t>All data and code are openly available and every reported number is reproducible from the raw primary files in the accompanying repository. The data, models and methodology used in the research are not proprietary.</w:t>
      </w:r>
    </w:p>
    <w:p>
      <w:pPr>
        <w:spacing w:after="160" w:line="360" w:lineRule="auto"/>
      </w:pPr>
      <w:r>
        <w:rPr>
          <w:rFonts w:ascii="Times New Roman" w:hAnsi="Times New Roman"/>
          <w:sz w:val="22"/>
        </w:rPr>
        <w:t>The research received no specific funding and had no sponsors; the authors have no direct or indirect financial relationships with any sponsor, and the question of sponsor approval or censorship of the manuscript does not arise. The work is original, not under consideration elsewhere, and all authors approve the submission. We declare no conflicts of interest.</w:t>
      </w:r>
    </w:p>
    <w:p>
      <w:pPr>
        <w:spacing w:after="160" w:line="360" w:lineRule="auto"/>
      </w:pPr>
      <w:r>
        <w:rPr>
          <w:rFonts w:ascii="Times New Roman" w:hAnsi="Times New Roman"/>
          <w:sz w:val="22"/>
        </w:rPr>
        <w:t>Corresponding author: Tatsuki Onishi, Data Science AI Innovation Research Promotion Center, Shiga University, 1-1-1 Bamba, Hikone, Shiga 522-8522, Japan. Email: [corresponding author email]. Tel: [telephone].</w:t>
      </w:r>
    </w:p>
    <w:p>
      <w:r>
        <w:rPr>
          <w:rFonts w:ascii="Times New Roman" w:hAnsi="Times New Roman"/>
          <w:sz w:val="24"/>
        </w:rPr>
        <w:t>Sincerely,</w:t>
      </w:r>
    </w:p>
    <w:p/>
    <w:p>
      <w:r>
        <w:rPr>
          <w:rFonts w:ascii="Times New Roman" w:hAnsi="Times New Roman"/>
          <w:sz w:val="24"/>
        </w:rPr>
        <w:t>[Corresponding author, 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