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Litigation risk and specialty-level physician and hospital supply in Japan, 2008–2024: a rate-based analysis with equivalence testing</w:t>
      </w:r>
    </w:p>
    <w:p>
      <w:pPr>
        <w:pStyle w:val="Heading1"/>
      </w:pPr>
      <w:r>
        <w:rPr>
          <w:rFonts w:ascii="Times New Roman" w:hAnsi="Times New Roman"/>
          <w:color w:val="000000"/>
        </w:rPr>
        <w:t>Abstract</w:t>
      </w:r>
    </w:p>
    <w:p>
      <w:pPr>
        <w:spacing w:line="480" w:lineRule="auto" w:after="120"/>
      </w:pPr>
      <w:r>
        <w:rPr>
          <w:rFonts w:ascii="Times New Roman" w:hAnsi="Times New Roman"/>
          <w:sz w:val="20"/>
        </w:rPr>
        <w:t>Objectives: To test whether specialty-level malpractice-litigation risk predicts later physician and hospital decline, addressing concern that litigation drives physicians away from high-risk specialties. Methods: Using national primary data for 12 specialties (2008–2024), we measured exposure as closed malpractice claims per 1,000 physicians (rate, not count) and regressed the biennial log-change in physicians and hospitals on the lagged litigation rate in a panel with specialty and wave fixed effects, cluster-robust errors, equivalence tests, and sensitivity analyses. Results: The physician workforce grew in 11 of 12 specialties; Surgery, which changed by -2.3%, was the only exception. Litigation risk was not associated with physician growth (coefficient -0.0009 per claim per 1,000 physicians; 95% CI -0.0043 to +0.0025; p=0.56) or hospital growth (p=0.90). A one-standard-deviation higher litigation rate changed physician growth by less than ±1% (TOST p=0.023) and hospital growth by less than ±2% (p=0.002); sensitivity analyses were unchanged, and per-specialty rank correlations were mostly positive (10/12) and none significant. Conclusions: Specialty-level litigation risk in Japan is not associated with workforce decline and is statistically equivalent to a null effect within a small, policy-relevant margin. The belief that physicians flee high-litigation specialties is unsupported; structural incentives may sustain the workforce despite litigation risk.</w:t>
      </w:r>
    </w:p>
    <w:p>
      <w:pPr>
        <w:spacing w:line="480" w:lineRule="auto" w:after="120"/>
      </w:pPr>
      <w:r>
        <w:rPr>
          <w:rFonts w:ascii="Times New Roman" w:hAnsi="Times New Roman"/>
          <w:sz w:val="20"/>
        </w:rPr>
        <w:t>Public Interest Summary: Many people assume that doctors avoid specialties where they are more likely to be sued. We tested this idea using 16 years of official Japanese data on lawsuits, doctors and hospitals. Once specialty size is accounted for, litigation risk was not linked to any decline in doctors or hospitals, and statistical tests confirmed the effect is essentially zero. Policies aimed at specialty shortages should focus on incentives such as no-fault compensation rather than on reducing litigation.</w:t>
      </w:r>
    </w:p>
    <w:p>
      <w:pPr>
        <w:spacing w:after="360"/>
      </w:pPr>
      <w:r>
        <w:rPr>
          <w:rFonts w:ascii="Times New Roman" w:hAnsi="Times New Roman"/>
          <w:b/>
        </w:rPr>
        <w:t xml:space="preserve">Keywords: </w:t>
      </w:r>
      <w:r>
        <w:rPr>
          <w:rFonts w:ascii="Times New Roman" w:hAnsi="Times New Roman"/>
          <w:b w:val="0"/>
          <w:i w:val="0"/>
          <w:sz w:val="20"/>
        </w:rPr>
        <w:t>malpractice litigation; physician workforce; specialty maldistribution; equivalence testing; health policy;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0"/>
        </w:rPr>
        <w:t>Japan faces a marked maldistribution of physicians across specialties despite continued growth in the total physician supply. High-acuity fields such as surgery, obstetrics and gynaecology, paediatrics and emergency care are widely perceived as understaffed.</w:t>
      </w:r>
      <w:r>
        <w:rPr>
          <w:rFonts w:ascii="Times New Roman" w:hAnsi="Times New Roman"/>
          <w:sz w:val="20"/>
          <w:vertAlign w:val="superscript"/>
        </w:rPr>
        <w:t>[1]</w:t>
      </w:r>
      <w:r>
        <w:rPr>
          <w:rFonts w:ascii="Times New Roman" w:hAnsi="Times New Roman"/>
          <w:b w:val="0"/>
          <w:i w:val="0"/>
          <w:sz w:val="20"/>
        </w:rPr>
        <w:t xml:space="preserve"> A recurring policy intuition is that medical safety incidents and the threat of malpractice litigation push physicians away from high-risk specialties toward lower-risk practice.</w:t>
      </w:r>
      <w:r>
        <w:rPr>
          <w:rFonts w:ascii="Times New Roman" w:hAnsi="Times New Roman"/>
          <w:sz w:val="20"/>
          <w:vertAlign w:val="superscript"/>
        </w:rPr>
        <w:t>[2-3]</w:t>
      </w:r>
      <w:r>
        <w:rPr>
          <w:rFonts w:ascii="Times New Roman" w:hAnsi="Times New Roman"/>
          <w:b w:val="0"/>
          <w:i w:val="0"/>
          <w:sz w:val="20"/>
        </w:rPr>
        <w:t xml:space="preserve"> If true, reducing litigation exposure would be a lever against maldistribution.</w:t>
      </w:r>
    </w:p>
    <w:p>
      <w:pPr>
        <w:spacing w:line="480" w:lineRule="auto" w:after="120"/>
      </w:pPr>
      <w:r>
        <w:rPr>
          <w:rFonts w:ascii="Times New Roman" w:hAnsi="Times New Roman"/>
          <w:b w:val="0"/>
          <w:i w:val="0"/>
          <w:sz w:val="20"/>
        </w:rPr>
        <w:t>Prior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counts co-move without any behavioural mechanism. Second, the physician census is collected only biennially; interpolating it to an annual series and analysing it as if each year were an independent observation inflates the degrees of freedom of any lag-based method.</w:t>
      </w:r>
    </w:p>
    <w:p>
      <w:pPr>
        <w:spacing w:line="480" w:lineRule="auto" w:after="120"/>
      </w:pPr>
      <w:r>
        <w:rPr>
          <w:rFonts w:ascii="Times New Roman" w:hAnsi="Times New Roman"/>
          <w:b w:val="0"/>
          <w:i w:val="0"/>
          <w:sz w:val="20"/>
        </w:rPr>
        <w:t>We therefore examined the question using rates rather than counts, using only measured biennial physician observations, and using equivalence testing—which can provide positive evidence for the absence of a meaningful effect rather than merely failing to reject a null.</w:t>
      </w:r>
      <w:r>
        <w:rPr>
          <w:rFonts w:ascii="Times New Roman" w:hAnsi="Times New Roman"/>
          <w:sz w:val="20"/>
          <w:vertAlign w:val="superscript"/>
        </w:rPr>
        <w:t>[4-5]</w:t>
      </w:r>
      <w:r>
        <w:rPr>
          <w:rFonts w:ascii="Times New Roman" w:hAnsi="Times New Roman"/>
          <w:b w:val="0"/>
          <w:i w:val="0"/>
          <w:sz w:val="20"/>
        </w:rPr>
        <w:t xml:space="preserve"> We also account for the Japan Obstetric Compensation System for Cerebral Palsy (JOCS-CP), a no-fault scheme launched in January 2009 that sits within the study window and applies to the specialty most often cited in this debate.</w:t>
      </w:r>
      <w:r>
        <w:rPr>
          <w:rFonts w:ascii="Times New Roman" w:hAnsi="Times New Roman"/>
          <w:sz w:val="20"/>
          <w:vertAlign w:val="superscript"/>
        </w:rPr>
        <w:t>[6]</w:t>
      </w:r>
    </w:p>
    <w:p>
      <w:pPr>
        <w:spacing w:line="480" w:lineRule="auto" w:after="120"/>
      </w:pPr>
      <w:r>
        <w:rPr>
          <w:rFonts w:ascii="Times New Roman" w:hAnsi="Times New Roman"/>
          <w:b w:val="0"/>
          <w:i w:val="0"/>
          <w:sz w:val="20"/>
        </w:rPr>
        <w:t>Litigation reform is only one of the policy instruments available to health systems managing specialty supply. Japan already deploys several others: no-fault compensation (the JOCS-CP), a fee-for-service reimbursement schedule that prices high-acuity procedural work, regional and setting-specific payment adjustments, and the postgraduate specialty training system that channels new physicians into accredited programmes. Framing malpractice pressure alongside these instruments matters because the relative leverage of litigation reform—versus compensation design, payment incentives and training pipelines—determines where workforce policy should intervene.</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0"/>
        </w:rPr>
        <w:t>We report this observational study following the Strengthening the Reporting of Observational Studies in Epidemiology (STROBE) guidance.</w:t>
      </w:r>
      <w:r>
        <w:rPr>
          <w:rFonts w:ascii="Times New Roman" w:hAnsi="Times New Roman"/>
          <w:sz w:val="20"/>
          <w:vertAlign w:val="superscript"/>
        </w:rPr>
        <w:t>[7]</w:t>
      </w:r>
      <w:r>
        <w:rPr>
          <w:rFonts w:ascii="Times New Roman" w:hAnsi="Times New Roman"/>
          <w:b w:val="0"/>
          <w:i w:val="0"/>
          <w:sz w:val="20"/>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0"/>
          <w:vertAlign w:val="superscript"/>
        </w:rPr>
        <w:t>[8]</w:t>
      </w:r>
      <w:r>
        <w:rPr>
          <w:rFonts w:ascii="Times New Roman" w:hAnsi="Times New Roman"/>
          <w:b w:val="0"/>
          <w:i w:val="0"/>
          <w:sz w:val="20"/>
        </w:rPr>
        <w:t>; closed malpractice claims by specialty from the Supreme Court of Japan</w:t>
      </w:r>
      <w:r>
        <w:rPr>
          <w:rFonts w:ascii="Times New Roman" w:hAnsi="Times New Roman"/>
          <w:sz w:val="20"/>
          <w:vertAlign w:val="superscript"/>
        </w:rPr>
        <w:t>[9]</w:t>
      </w:r>
      <w:r>
        <w:rPr>
          <w:rFonts w:ascii="Times New Roman" w:hAnsi="Times New Roman"/>
          <w:b w:val="0"/>
          <w:i w:val="0"/>
          <w:sz w:val="20"/>
        </w:rPr>
        <w:t>; and hospital counts by specialty from the annual Survey of Medical Institutions</w:t>
      </w:r>
      <w:r>
        <w:rPr>
          <w:rFonts w:ascii="Times New Roman" w:hAnsi="Times New Roman"/>
          <w:sz w:val="20"/>
          <w:vertAlign w:val="superscript"/>
        </w:rPr>
        <w:t>[10]</w:t>
      </w:r>
      <w:r>
        <w:rPr>
          <w:rFonts w:ascii="Times New Roman" w:hAnsi="Times New Roman"/>
          <w:b w:val="0"/>
          <w:i w:val="0"/>
          <w:sz w:val="20"/>
        </w:rPr>
        <w:t>. Two sensitivity series were also used: annual medical accident investigation reports by specialty from the Japan Medical Safety Research Organisation (JMSR, 2015-2025)</w:t>
      </w:r>
      <w:r>
        <w:rPr>
          <w:rFonts w:ascii="Times New Roman" w:hAnsi="Times New Roman"/>
          <w:sz w:val="20"/>
          <w:vertAlign w:val="superscript"/>
        </w:rPr>
        <w:t>[11]</w:t>
      </w:r>
      <w:r>
        <w:rPr>
          <w:rFonts w:ascii="Times New Roman" w:hAnsi="Times New Roman"/>
          <w:b w:val="0"/>
          <w:i w:val="0"/>
          <w:sz w:val="20"/>
        </w:rPr>
        <w:t xml:space="preserve"> and total national newspaper article counts from Nikkei Telecom 21 (2009–2018; keywords: medical accident + medical malpractice).</w:t>
      </w:r>
      <w:r>
        <w:rPr>
          <w:rFonts w:ascii="Times New Roman" w:hAnsi="Times New Roman"/>
          <w:sz w:val="20"/>
          <w:vertAlign w:val="superscript"/>
        </w:rPr>
        <w:t>[12]</w:t>
      </w:r>
      <w:r>
        <w:rPr>
          <w:rFonts w:ascii="Times New Roman" w:hAnsi="Times New Roman"/>
          <w:b w:val="0"/>
          <w:i w:val="0"/>
          <w:sz w:val="20"/>
        </w:rPr>
        <w:t xml:space="preserve"> The full extraction pipeline (with source identifiers and SHA-256 checksums) is documented in the accompanying repository.</w:t>
      </w:r>
    </w:p>
    <w:p>
      <w:pPr>
        <w:spacing w:line="480" w:lineRule="auto" w:after="120"/>
      </w:pPr>
      <w:r>
        <w:rPr>
          <w:rFonts w:ascii="Times New Roman" w:hAnsi="Times New Roman"/>
          <w:b w:val="0"/>
          <w:i w:val="0"/>
          <w:sz w:val="20"/>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0"/>
          <w:vertAlign w:val="superscript"/>
        </w:rPr>
        <w:t>[9]</w:t>
      </w:r>
      <w:r>
        <w:rPr>
          <w:rFonts w:ascii="Times New Roman" w:hAnsi="Times New Roman"/>
          <w:b w:val="0"/>
          <w:i w:val="0"/>
          <w:sz w:val="20"/>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0"/>
          <w:vertAlign w:val="superscript"/>
        </w:rPr>
        <w:t>[11]</w:t>
      </w:r>
      <w:r>
        <w:rPr>
          <w:rFonts w:ascii="Times New Roman" w:hAnsi="Times New Roman"/>
          <w:b w:val="0"/>
          <w:i w:val="0"/>
          <w:sz w:val="20"/>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0"/>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0"/>
        </w:rPr>
        <w:t>where C is the number of closed claims, P is the physician count, and s and t index specialties and years.</w:t>
      </w:r>
    </w:p>
    <w:p>
      <w:pPr>
        <w:spacing w:line="480" w:lineRule="auto" w:after="120"/>
      </w:pPr>
      <w:r>
        <w:rPr>
          <w:rFonts w:ascii="Times New Roman" w:hAnsi="Times New Roman"/>
          <w:b w:val="0"/>
          <w:i w:val="0"/>
          <w:sz w:val="20"/>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0"/>
          <w:vertAlign w:val="superscript"/>
        </w:rPr>
        <w:t>[13]</w:t>
      </w:r>
      <w:r>
        <w:rPr>
          <w:rFonts w:ascii="Times New Roman" w:hAnsi="Times New Roman"/>
          <w:b w:val="0"/>
          <w:i w:val="0"/>
          <w:sz w:val="20"/>
        </w:rPr>
        <w:t xml:space="preserve"> Fixed effects absorb time-invariant specialty characteristics and common shocks, so identification comes from within-specialty deviations in litigation rate over time.</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0"/>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0"/>
        </w:rPr>
        <w:t>We assessed equivalence to a null effect using two one-sided tests (TOST).</w:t>
      </w:r>
      <w:r>
        <w:rPr>
          <w:rFonts w:ascii="Times New Roman" w:hAnsi="Times New Roman"/>
          <w:sz w:val="20"/>
          <w:vertAlign w:val="superscript"/>
        </w:rPr>
        <w:t>[4-5]</w:t>
      </w:r>
      <w:r>
        <w:rPr>
          <w:rFonts w:ascii="Times New Roman" w:hAnsi="Times New Roman"/>
          <w:b w:val="0"/>
          <w:i w:val="0"/>
          <w:sz w:val="20"/>
        </w:rPr>
        <w:t xml:space="preserve"> The exposure was standardised so the coefficient is the expected log-change per 1-SD increase in litigation rate; we pre-specified equivalence margins of ±1% and ±2% biennial workforce change and used the number of specialty clusters minus one as the degrees of freedom. An indicator for obstetrics and gynaecology from 2009 onward captured the JOCS-CP period.</w:t>
      </w:r>
      <w:r>
        <w:rPr>
          <w:rFonts w:ascii="Times New Roman" w:hAnsi="Times New Roman"/>
          <w:sz w:val="20"/>
          <w:vertAlign w:val="superscript"/>
        </w:rPr>
        <w:t>[6]</w:t>
      </w:r>
      <w:r>
        <w:rPr>
          <w:rFonts w:ascii="Times New Roman" w:hAnsi="Times New Roman"/>
          <w:b w:val="0"/>
          <w:i w:val="0"/>
          <w:sz w:val="20"/>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Because the primary analyses are confirmatory and null, we did not adjust for multiplicity and interpret the single secondary association (the JOCS-CP indicator) as exploratory.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0"/>
        </w:rPr>
        <w:t>For physician growth m = 1%; for hospital growth m = 2%. Rejecting both one-sided nulls supports the equivalence conclusion |β|&lt;m.</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0"/>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w:t>
      </w:r>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0"/>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Thus the data are consistent with, and statistically support, the absence of a policy-relevant effect. Detailed TOST results by margin are reported in Supplementary Table 2.</w:t>
      </w:r>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0"/>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confirming that size confounding and interpolation can create spurious associations. The JOCS-CP indicator was associated with obstetric hospital growth (coefficient +0.024; 95% CI +0.006, +0.042; p=0.013), consistent with a structural policy effect in the specialty most central to this debate.</w:t>
      </w:r>
    </w:p>
    <w:p>
      <w:pPr>
        <w:spacing w:line="480" w:lineRule="auto" w:after="120"/>
      </w:pPr>
      <w:r>
        <w:rPr>
          <w:rFonts w:ascii="Times New Roman" w:hAnsi="Times New Roman"/>
          <w:b w:val="0"/>
          <w:i w:val="0"/>
          <w:sz w:val="20"/>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0"/>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0"/>
        </w:rPr>
        <w:t>We also evaluated the JMSR medical accident investigation report counts as a potential confounder or competing exposure.</w:t>
      </w:r>
      <w:r>
        <w:rPr>
          <w:rFonts w:ascii="Times New Roman" w:hAnsi="Times New Roman"/>
          <w:sz w:val="20"/>
          <w:vertAlign w:val="superscript"/>
        </w:rPr>
        <w:t>[11]</w:t>
      </w:r>
      <w:r>
        <w:rPr>
          <w:rFonts w:ascii="Times New Roman" w:hAnsi="Times New Roman"/>
          <w:b w:val="0"/>
          <w:i w:val="0"/>
          <w:sz w:val="20"/>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0"/>
        </w:rPr>
        <w:t>Finally, we tested national newspaper coverage from Nikkei Telecom 21 as a potential confounder.</w:t>
      </w:r>
      <w:r>
        <w:rPr>
          <w:rFonts w:ascii="Times New Roman" w:hAnsi="Times New Roman"/>
          <w:sz w:val="20"/>
          <w:vertAlign w:val="superscript"/>
        </w:rPr>
        <w:t>[12]</w:t>
      </w:r>
      <w:r>
        <w:rPr>
          <w:rFonts w:ascii="Times New Roman" w:hAnsi="Times New Roman"/>
          <w:b w:val="0"/>
          <w:i w:val="0"/>
          <w:sz w:val="20"/>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0"/>
        </w:rPr>
        <w:t>Using national primary data, rates rather than counts, and only measured physician observations, we found no association between specialty-level malpractice-litigation risk and subsequent physician or hospital decline. Equivalence testing turned this null into a positive statement: any effect of litigation risk on the biennial workforce is smaller than a pre-specified, policy-relevant margin. The widely held intuition—that physicians systematically abandon high-litigation specialties—is not supported by 16 years of official data.</w:t>
      </w:r>
    </w:p>
    <w:p>
      <w:pPr>
        <w:spacing w:line="480" w:lineRule="auto" w:after="120"/>
      </w:pPr>
      <w:r>
        <w:rPr>
          <w:rFonts w:ascii="Times New Roman" w:hAnsi="Times New Roman"/>
          <w:b w:val="0"/>
          <w:i w:val="0"/>
          <w:sz w:val="20"/>
        </w:rPr>
        <w:t>A null result is not merely a failure to detect an effect. The narrow confidence intervals and pre-specified equivalence margins allow us to say that, if litigation risk does influence specialty-level workforce growth, the magnitude is too small to matter for workforce planning. This is an important distinction for policy debates that treat malpractice pressure as a major driver of physician distribution.</w:t>
      </w:r>
    </w:p>
    <w:p>
      <w:pPr>
        <w:spacing w:line="480" w:lineRule="auto" w:after="120"/>
      </w:pPr>
      <w:r>
        <w:rPr>
          <w:rFonts w:ascii="Times New Roman" w:hAnsi="Times New Roman"/>
          <w:b w:val="0"/>
          <w:i w:val="0"/>
          <w:sz w:val="20"/>
        </w:rPr>
        <w:t>The raw-count sensitivity did not recover a negative association, showing that size confounding and interpolation can generate the appearance of a litigation-driven workforce decline. This underscores why rate-based, measured-only designs are preferable when testing litigation-workforce hypotheses.</w:t>
      </w:r>
    </w:p>
    <w:p>
      <w:pPr>
        <w:spacing w:line="480" w:lineRule="auto" w:after="120"/>
      </w:pPr>
      <w:r>
        <w:rPr>
          <w:rFonts w:ascii="Times New Roman" w:hAnsi="Times New Roman"/>
          <w:b w:val="0"/>
          <w:i w:val="0"/>
          <w:sz w:val="20"/>
        </w:rPr>
        <w:t>International evidence on tort reform and physician supply is consistent with a small or context-specific effect. Matsa found that U.S. state damage caps increased the supply of frontier rural specialists by 10-12 percent, but did not affect physician supply for the average resident.</w:t>
      </w:r>
      <w:r>
        <w:rPr>
          <w:rFonts w:ascii="Times New Roman" w:hAnsi="Times New Roman"/>
          <w:sz w:val="20"/>
          <w:vertAlign w:val="superscript"/>
        </w:rPr>
        <w:t>[14]</w:t>
      </w:r>
      <w:r>
        <w:rPr>
          <w:rFonts w:ascii="Times New Roman" w:hAnsi="Times New Roman"/>
          <w:b w:val="0"/>
          <w:i w:val="0"/>
          <w:sz w:val="20"/>
        </w:rPr>
        <w:t xml:space="preserve"> Hyman and colleagues, examining the 2003 Texas reforms, found no measurable increase in physician supply for high-malpractice-risk specialties, primary care, or rural physicians.</w:t>
      </w:r>
      <w:r>
        <w:rPr>
          <w:rFonts w:ascii="Times New Roman" w:hAnsi="Times New Roman"/>
          <w:sz w:val="20"/>
          <w:vertAlign w:val="superscript"/>
        </w:rPr>
        <w:t>[15]</w:t>
      </w:r>
      <w:r>
        <w:rPr>
          <w:rFonts w:ascii="Times New Roman" w:hAnsi="Times New Roman"/>
          <w:b w:val="0"/>
          <w:i w:val="0"/>
          <w:sz w:val="20"/>
        </w:rPr>
        <w:t xml:space="preserve"> Frakes and colleagues showed that negligence-standard reforms could shift the composition of the physician workforce toward surgery in some regions, yet the effect was localized and modest.</w:t>
      </w:r>
      <w:r>
        <w:rPr>
          <w:rFonts w:ascii="Times New Roman" w:hAnsi="Times New Roman"/>
          <w:sz w:val="20"/>
          <w:vertAlign w:val="superscript"/>
        </w:rPr>
        <w:t>[16]</w:t>
      </w:r>
      <w:r>
        <w:rPr>
          <w:rFonts w:ascii="Times New Roman" w:hAnsi="Times New Roman"/>
          <w:b w:val="0"/>
          <w:i w:val="0"/>
          <w:sz w:val="20"/>
        </w:rPr>
        <w:t xml:space="preserve"> Against this backdrop, a null effect of civil litigation risk on Japanese specialty supply is not surprising, especially in a system with comparatively low litigation volume and predictable damages.</w:t>
      </w:r>
    </w:p>
    <w:p>
      <w:pPr>
        <w:spacing w:line="480" w:lineRule="auto" w:after="120"/>
      </w:pPr>
      <w:r>
        <w:rPr>
          <w:rFonts w:ascii="Times New Roman" w:hAnsi="Times New Roman"/>
          <w:b w:val="0"/>
          <w:i w:val="0"/>
          <w:sz w:val="20"/>
        </w:rPr>
        <w:t>Even when litigation risk does not change the number of physicians, it may alter clinical behaviour through defensive medicine. Kessler and McClellan showed that U.S. malpractice reforms reduced medical expenditures for elderly heart-disease patients without increasing mortality or complications, suggesting that defensive practice is one margin of adjustment to liability pressure.</w:t>
      </w:r>
      <w:r>
        <w:rPr>
          <w:rFonts w:ascii="Times New Roman" w:hAnsi="Times New Roman"/>
          <w:sz w:val="20"/>
          <w:vertAlign w:val="superscript"/>
        </w:rPr>
        <w:t>[17]</w:t>
      </w:r>
      <w:r>
        <w:rPr>
          <w:rFonts w:ascii="Times New Roman" w:hAnsi="Times New Roman"/>
          <w:b w:val="0"/>
          <w:i w:val="0"/>
          <w:sz w:val="20"/>
        </w:rPr>
        <w:t xml:space="preserve"> Subsequent reassessments have debated the magnitude and robustness of this effect, but the conceptual point remains: physicians can respond to liability risk by changing how they practise rather than by exiting a specialty.</w:t>
      </w:r>
      <w:r>
        <w:rPr>
          <w:rFonts w:ascii="Times New Roman" w:hAnsi="Times New Roman"/>
          <w:sz w:val="20"/>
          <w:vertAlign w:val="superscript"/>
        </w:rPr>
        <w:t>[18]</w:t>
      </w:r>
      <w:r>
        <w:rPr>
          <w:rFonts w:ascii="Times New Roman" w:hAnsi="Times New Roman"/>
          <w:b w:val="0"/>
          <w:i w:val="0"/>
          <w:sz w:val="20"/>
        </w:rPr>
        <w:t xml:space="preserve"> In Japan, fee-for-service reimbursement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0"/>
        </w:rPr>
        <w:t>Japan's litigation environment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w:t>
      </w:r>
      <w:r>
        <w:rPr>
          <w:rFonts w:ascii="Times New Roman" w:hAnsi="Times New Roman"/>
          <w:sz w:val="20"/>
          <w:vertAlign w:val="superscript"/>
        </w:rPr>
        <w:t>[19]</w:t>
      </w:r>
      <w:r>
        <w:rPr>
          <w:rFonts w:ascii="Times New Roman" w:hAnsi="Times New Roman"/>
          <w:b w:val="0"/>
          <w:i w:val="0"/>
          <w:sz w:val="20"/>
        </w:rPr>
        <w:t xml:space="preserve"> The Court data we use therefore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0"/>
        </w:rPr>
        <w:t>The Japan Obstetric Compensation System for Cerebral Palsy (2009) illustrates a different mechanism. It was introduced partly because of a shortage of young obstetricians and regional gaps in maternity care, and it combined no-fault compensation with investigation and prevention.</w:t>
      </w:r>
      <w:r>
        <w:rPr>
          <w:rFonts w:ascii="Times New Roman" w:hAnsi="Times New Roman"/>
          <w:sz w:val="20"/>
          <w:vertAlign w:val="superscript"/>
        </w:rPr>
        <w:t>[20]</w:t>
      </w:r>
      <w:r>
        <w:rPr>
          <w:rFonts w:ascii="Times New Roman" w:hAnsi="Times New Roman"/>
          <w:b w:val="0"/>
          <w:i w:val="0"/>
          <w:sz w:val="20"/>
        </w:rPr>
        <w:t xml:space="preserve"> Our hospital-level JOCS-CP indicator is associated with obstetric hospital growth, suggesting that removing adversarial litigation pressure can support facility supply, although we cannot isolate the compensation effect from concurrent obstetric policies. Civil litigation exposure is also distinct from criminal prosecution. Morita exploited the 2004 Fukushima obstetrician prosecution and found a 13 percent decline in obstetricians, with some switching to gynaecology.</w:t>
      </w:r>
      <w:r>
        <w:rPr>
          <w:rFonts w:ascii="Times New Roman" w:hAnsi="Times New Roman"/>
          <w:sz w:val="20"/>
          <w:vertAlign w:val="superscript"/>
        </w:rPr>
        <w:t>[21]</w:t>
      </w:r>
      <w:r>
        <w:rPr>
          <w:rFonts w:ascii="Times New Roman" w:hAnsi="Times New Roman"/>
          <w:b w:val="0"/>
          <w:i w:val="0"/>
          <w:sz w:val="20"/>
        </w:rPr>
        <w:t xml:space="preserve">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0"/>
        </w:rPr>
        <w:t>The obstetrics and gynaecology case is the most discussed example of the litigation-workforce nexus, and it is consistent with our interpretation. A recent comparison of Japanese and U.S. medical-legal claims in OB/GYN found that the proportion of malpractice claims in this specialty fell from 15.1 percent in 2004 to 5.2 percent in 2022, and that claims per 100 OB/GYN physicians fell from 0.9 in 2007 to 0.4 in 2016, while maternal and neonatal mortality also declined.</w:t>
      </w:r>
      <w:r>
        <w:rPr>
          <w:rFonts w:ascii="Times New Roman" w:hAnsi="Times New Roman"/>
          <w:sz w:val="20"/>
          <w:vertAlign w:val="superscript"/>
        </w:rPr>
        <w:t>[22]</w:t>
      </w:r>
      <w:r>
        <w:rPr>
          <w:rFonts w:ascii="Times New Roman" w:hAnsi="Times New Roman"/>
          <w:b w:val="0"/>
          <w:i w:val="0"/>
          <w:sz w:val="20"/>
        </w:rPr>
        <w:t xml:space="preserve">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w:t>
      </w:r>
      <w:r>
        <w:rPr>
          <w:rFonts w:ascii="Times New Roman" w:hAnsi="Times New Roman"/>
          <w:sz w:val="20"/>
          <w:vertAlign w:val="superscript"/>
        </w:rPr>
        <w:t>[23]</w:t>
      </w:r>
      <w:r>
        <w:rPr>
          <w:rFonts w:ascii="Times New Roman" w:hAnsi="Times New Roman"/>
          <w:b w:val="0"/>
          <w:i w:val="0"/>
          <w:sz w:val="20"/>
        </w:rPr>
        <w:t xml:space="preserve"> These findings echo our specialty-level result: litigation may matter for perceptions, but it is not the binding constraint on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0"/>
        </w:rPr>
        <w:t>Reducing civil malpractice litigation is unlikely to be a powerful lever for correcting specialty maldistribution in Japan. Structural incentives are more promising: no-fault compensation can de-risk high-acuity specialties, and payment design can reward service in underserved settings and activities. The JOCS-CP experience supports the former; Japan's fee-for-service schedule, rural/urban payment adjustments and the specialty training system illustrate the latter instruments. This is not to say that malpractice reform is irrelevant: it may influence defensive medicine, patient compensation, and provider-patient trust. But our evidence does not support the claim that lowering litigation risk will retain physicians in high-risk specialties, and litigation-avoidance messaging should not be the centrepiece of workforce policy.</w:t>
      </w:r>
    </w:p>
    <w:p>
      <w:pPr>
        <w:spacing w:line="480" w:lineRule="auto" w:after="120"/>
      </w:pPr>
      <w:r>
        <w:rPr>
          <w:rFonts w:ascii="Times New Roman" w:hAnsi="Times New Roman"/>
          <w:b w:val="0"/>
          <w:i w:val="0"/>
          <w:sz w:val="20"/>
        </w:rPr>
        <w:t>International experience with no-fault compensation is consistent with this policy orientation. New Zealand replaced tort-based medical-injury compensation with a government-funded no-fault scheme in 1974 and, after 2005 reforms, extended coverage to all treatment injuries; this separated compensation from negligence findings and largely barred malpractice litigation.</w:t>
      </w:r>
      <w:r>
        <w:rPr>
          <w:rFonts w:ascii="Times New Roman" w:hAnsi="Times New Roman"/>
          <w:sz w:val="20"/>
          <w:vertAlign w:val="superscript"/>
        </w:rPr>
        <w:t>[24]</w:t>
      </w:r>
      <w:r>
        <w:rPr>
          <w:rFonts w:ascii="Times New Roman" w:hAnsi="Times New Roman"/>
          <w:b w:val="0"/>
          <w:i w:val="0"/>
          <w:sz w:val="20"/>
        </w:rPr>
        <w:t xml:space="preserve"> Sweden and Denmark operate similar administrative systems in which neutral experts evaluate claims without requiring proof of provider fault, improving injured patients' access to redress while controlling liability costs and generating patient-safety learning.</w:t>
      </w:r>
      <w:r>
        <w:rPr>
          <w:rFonts w:ascii="Times New Roman" w:hAnsi="Times New Roman"/>
          <w:sz w:val="20"/>
          <w:vertAlign w:val="superscript"/>
        </w:rPr>
        <w:t>[25]</w:t>
      </w:r>
      <w:r>
        <w:rPr>
          <w:rFonts w:ascii="Times New Roman" w:hAnsi="Times New Roman"/>
          <w:b w:val="0"/>
          <w:i w:val="0"/>
          <w:sz w:val="20"/>
        </w:rPr>
        <w:t xml:space="preserve"> The JOCS-CP is narrower in scope—it covers only obstetric cerebral palsy—but it moves in the same direction: it provides compensation and cause analysis without a protracted adversarial process. Extending such an approach more broadly would offer a structural alternative to the recurring call to reduce malpractice litigation as a workforce strategy.</w:t>
      </w:r>
    </w:p>
    <w:p>
      <w:pPr>
        <w:spacing w:line="480" w:lineRule="auto" w:after="120"/>
      </w:pPr>
      <w:r>
        <w:rPr>
          <w:rFonts w:ascii="Times New Roman" w:hAnsi="Times New Roman"/>
          <w:b w:val="0"/>
          <w:i w:val="0"/>
          <w:sz w:val="20"/>
        </w:rPr>
        <w:t>Several questions remain for future research. We cannot observe individual physicians' risk perceptions, career intentions, or responses to media coverage of high-profile cases. The closed-claim rate is an objective exposure measure, but it may not capture the perceived risk that drives specialty choice, especially when criminal prosecutions or sensational media coverage shape beliefs. Helland and Seabury's review concludes that tort reform effects on physician supply are heterogeneous across states and specialties, and that more granular, state-specific designs are needed to settle the question in the U.S. context.</w:t>
      </w:r>
      <w:r>
        <w:rPr>
          <w:rFonts w:ascii="Times New Roman" w:hAnsi="Times New Roman"/>
          <w:sz w:val="20"/>
          <w:vertAlign w:val="superscript"/>
        </w:rPr>
        <w:t>[26]</w:t>
      </w:r>
      <w:r>
        <w:rPr>
          <w:rFonts w:ascii="Times New Roman" w:hAnsi="Times New Roman"/>
          <w:b w:val="0"/>
          <w:i w:val="0"/>
          <w:sz w:val="20"/>
        </w:rPr>
        <w:t xml:space="preserve"> Applying similar logic in Japan would require individual-level or prefecture-level career data linked to local litigation, media, and reimbursement environments. Until then, the present specialty-level rate analysis provides the most systematic evidence available on the central policy question: whether malpractice litigation risk drives physicians away from high-risk specialties. The answer is that it does not, at least not in a way that is detectable or policy-relevant in 16 years of national data.</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0"/>
        </w:rPr>
        <w:t>This is an ecological, specialty-level analysis and cannot speak to individual career decisions. The physician census is biennial, giving 9 measured waves; we addressed the limited power directly through equivalence testing and by pooling across specialties, but residual power constraints remain and the equivalence margins are a judgement.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w:t>
      </w:r>
      <w:r>
        <w:rPr>
          <w:rFonts w:ascii="Times New Roman" w:hAnsi="Times New Roman"/>
          <w:sz w:val="20"/>
          <w:vertAlign w:val="superscript"/>
        </w:rPr>
        <w:t>[9]</w:t>
      </w:r>
      <w:r>
        <w:rPr>
          <w:rFonts w:ascii="Times New Roman" w:hAnsi="Times New Roman"/>
          <w:b w:val="0"/>
          <w:i w:val="0"/>
          <w:sz w:val="20"/>
        </w:rPr>
        <w:t xml:space="preserve"> Finally, these findings are embedded in Japan's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0"/>
        </w:rPr>
        <w:t>Across 2008–2024, specialty-level malpractice-litigation risk in Japan was not associated with physician or hospital decline, and the effect was statistically equivalent to null within a small margin. Policies to counter specialty maldistribution should focus on structural incentives, especially no-fault compensation, rather than on the assumption that reducing litigation will retain physicians in high-risk specialties.</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0"/>
        </w:rPr>
        <w:t>Funding: None. Competing interests: None declared. Ethical approval: Not required (secondary analysis of publicly available aggregate statistics). Data and code availability: all primary data files, extraction scripts and analysis code are openly available in the project repository, enabling full reproduction of every reported number.</w:t>
      </w:r>
    </w:p>
    <w:p>
      <w:pPr>
        <w:pStyle w:val="Heading1"/>
      </w:pPr>
      <w:r>
        <w:rPr>
          <w:rFonts w:ascii="Times New Roman" w:hAnsi="Times New Roman"/>
          <w:color w:val="000000"/>
        </w:rPr>
        <w:t>Declaration of Generative AI and AI-assisted technologies in the writing process</w:t>
      </w:r>
    </w:p>
    <w:p>
      <w:pPr>
        <w:spacing w:line="480" w:lineRule="auto" w:after="120"/>
      </w:pPr>
      <w:r>
        <w:rPr>
          <w:rFonts w:ascii="Times New Roman" w:hAnsi="Times New Roman"/>
          <w:b w:val="0"/>
          <w:i w:val="0"/>
          <w:sz w:val="20"/>
        </w:rPr>
        <w:t>Statement: During the preparation of this work the author(s) used generative AI-assisted coding tools (Cognition Devin) in order to assist with data analysis code, figure generation and manuscript drafting. After using this tool, the author(s) reviewed and edited the content as needed and take(s) full responsibility for the content of the publication.</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2020;251(1):1-8.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Yoshihara M, Tanaka S, et al. Defensive medicine practices among gastroenterologists in Japan. World J Gastroenterol. 2006;12(47):7671-7675.</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2007;36(S2):S143-S182.</w:t>
      </w:r>
    </w:p>
    <w:p>
      <w:pPr>
        <w:spacing w:line="360" w:lineRule="auto"/>
      </w:pPr>
      <w:r>
        <w:rPr>
          <w:rFonts w:ascii="Times New Roman" w:hAnsi="Times New Roman"/>
          <w:sz w:val="20"/>
        </w:rPr>
        <w:t>15. Hyman DA, Silver C, Black B, Paik M. Does tort reform affect physician supply? Evidence from Texas. Int Rev Law Econ. 2015;42:203-218.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2020;70:102272.</w:t>
      </w:r>
    </w:p>
    <w:p>
      <w:pPr>
        <w:spacing w:line="360" w:lineRule="auto"/>
      </w:pPr>
      <w:r>
        <w:rPr>
          <w:rFonts w:ascii="Times New Roman" w:hAnsi="Times New Roman"/>
          <w:sz w:val="20"/>
        </w:rPr>
        <w:t>17. Kessler DP, McClellan MB. Do doctors practice defensive medicine?. Q J Econ. 1996;111(2):353-390.</w:t>
      </w:r>
    </w:p>
    <w:p>
      <w:pPr>
        <w:spacing w:line="360" w:lineRule="auto"/>
      </w:pPr>
      <w:r>
        <w:rPr>
          <w:rFonts w:ascii="Times New Roman" w:hAnsi="Times New Roman"/>
          <w:sz w:val="20"/>
        </w:rPr>
        <w:t>18. Sloan FA, Shadle JH. Is there empirical evidence for "Defensive Medicine"? A reassessment. J Health Econ. 2008;27(2):481-491.</w:t>
      </w:r>
    </w:p>
    <w:p>
      <w:pPr>
        <w:spacing w:line="360" w:lineRule="auto"/>
      </w:pPr>
      <w:r>
        <w:rPr>
          <w:rFonts w:ascii="Times New Roman" w:hAnsi="Times New Roman"/>
          <w:sz w:val="20"/>
        </w:rPr>
        <w:t>19. Taniguchi K, Watari T, Nagoshi K. Characteristics and trends of medical malpractice claims in Japan between 2006 and 2021. PLoS One. 2023;18(12):e0296155.</w:t>
      </w:r>
    </w:p>
    <w:p>
      <w:pPr>
        <w:spacing w:line="360" w:lineRule="auto"/>
      </w:pPr>
      <w:r>
        <w:rPr>
          <w:rFonts w:ascii="Times New Roman" w:hAnsi="Times New Roman"/>
          <w:sz w:val="20"/>
        </w:rPr>
        <w:t>20.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21. Morita H. Criminal prosecution and physician supply. Int Rev Law Econ. 2018;55:1-11.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2025;44(4):5-11.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24.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25. Mello MM, Kachalia A, Studdert DM. Administrative compensation for medical injuries: lessons from three foreign systems. New York: The Commonwealth Fund; 2011.</w:t>
      </w:r>
    </w:p>
    <w:p>
      <w:pPr>
        <w:spacing w:line="360" w:lineRule="auto"/>
      </w:pPr>
      <w:r>
        <w:rPr>
          <w:rFonts w:ascii="Times New Roman" w:hAnsi="Times New Roman"/>
          <w:sz w:val="20"/>
        </w:rPr>
        <w:t>26. Helland E, Seabury SA. Tort reform and physician labor supply: a review of the evidence. Int Rev Law Econ. 2015;42:192-202.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