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Tables</w:t>
      </w:r>
    </w:p>
    <w:p>
      <w:pPr>
        <w:spacing w:before="280" w:after="120"/>
      </w:pPr>
      <w:r>
        <w:rPr>
          <w:rFonts w:ascii="Times New Roman" w:hAnsi="Times New Roman"/>
          <w:b/>
          <w:sz w:val="20"/>
        </w:rPr>
        <w:t>Table 1. Physicians, litigation rate (per 1,000 physicians) and hospitals by specialty, first and last waves.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Specialty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Physicians 2008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Physicians 2024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Lit. rate 2008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Lit. rate 2024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Hospitals 2008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Hospitals 2024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Internal medicine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102388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124010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1.48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7725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7163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Surgery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27525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26885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6.54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4994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4300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Orthopaedics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19273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22630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5.60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5094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4844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Plastic surgery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2520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5074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7.14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8.28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1090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1475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Obstetrics &amp; gynaecology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11961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13908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8.28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1319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1052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Paediatrics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15236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18009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2932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2446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Psychiatry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13534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17259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1.80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2618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2881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Ophthalmology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12627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13436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2501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2310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Otolaryngology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8936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9330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2.13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1.39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2039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1937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Urology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6324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8069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2.85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2.11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2893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Dermatology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8214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10043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1.10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1.39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3040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3066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Anaesthesiology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7067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10628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1.13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2525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2798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Table 2. Panel fixed-effects models and sensitivity analyses.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Physician growth ~ lagged rate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-0.0043, +0.0025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Hospital growth ~ lagged rate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-0.0050, +0.0056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Counts contrast (physician)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-0.0005, +0.0009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Annual hospital (sensitivity)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-0.0038, +0.0038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Interpolated physician (sensitivity)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-0.0033, +0.0014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Reverse (workforce→litigation)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+0.097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-1.000, +1.193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