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Malpractice litigation, physician supply and service capacity in Japan, 2008–2024: a national equivalence analysis</w:t>
      </w:r>
    </w:p>
    <w:p>
      <w:pPr>
        <w:pStyle w:val="Heading1"/>
      </w:pPr>
      <w:r>
        <w:rPr>
          <w:rFonts w:ascii="Times New Roman" w:hAnsi="Times New Roman"/>
          <w:color w:val="000000"/>
        </w:rPr>
        <w:t>Abstract</w:t>
      </w:r>
    </w:p>
    <w:p>
      <w:pPr>
        <w:spacing w:line="480" w:lineRule="auto" w:after="120"/>
      </w:pPr>
      <w:r>
        <w:rPr>
          <w:rFonts w:ascii="Times New Roman" w:hAnsi="Times New Roman"/>
          <w:sz w:val="20"/>
        </w:rPr>
        <w:t>Objectives: To quantify how much specialty-level malpractice-litigation exposure contributes to physician-supply and service-capacity change, and whether any association is large enough to matter for workforce planning. Study design: Observational specialty-level panel of 12 clinical specialties in Japan, 2008–2024, using nine measured biennial physician waves. Methods: Exposure was closed malpractice claims per 1,000 physicians; biennial log-change in physicians and hospitals was regressed on the lagged litigation rate with specialty and wave fixed effects and cluster-robust errors. Two one-sided tests assessed equivalence to a small specified margin. Results: Litigation exposure was not associated with physician growth (coefficient -0.0009; 95% CI -0.0043 to +0.0025; p=0.56) or hospital growth (p=0.90). A 1-SD higher litigation rate changed physician growth by less than ±1% (TOST p=0.023; point estimate -0.21%, 90% CI -0.84% to +0.42%) and hospital growth by less than ±2% (p=0.002); sensitivity analyses did not alter these conclusions. Conclusions: Equivalence testing constrained the plausible specialty-level effect of litigation to a range unlikely to be large enough to explain workforce change of practical relevance in Japan; this ecological analysis cannot speak to individual career decisions.</w:t>
      </w:r>
    </w:p>
    <w:p>
      <w:pPr>
        <w:spacing w:after="360"/>
      </w:pPr>
      <w:r>
        <w:rPr>
          <w:rFonts w:ascii="Times New Roman" w:hAnsi="Times New Roman"/>
          <w:b/>
        </w:rPr>
        <w:t xml:space="preserve">Keywords: </w:t>
      </w:r>
      <w:r>
        <w:rPr>
          <w:rFonts w:ascii="Times New Roman" w:hAnsi="Times New Roman"/>
          <w:b w:val="0"/>
          <w:i w:val="0"/>
          <w:sz w:val="20"/>
        </w:rPr>
        <w:t>malpractice litigation; physician supply; service capacity; specialty maldistribution; equivalence testing;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0"/>
        </w:rPr>
        <w:t>Uneven distribution of physicians across specialties is a persistent problem for health-system capacity and workforce planning. In Japan, high-acuity fields such as surgery, obstetrics and gynaecology, paediatrics and emergency care are widely perceived as understaffed despite continued growth in the total physician supply,</w:t>
      </w:r>
      <w:r>
        <w:rPr>
          <w:rFonts w:ascii="Times New Roman" w:hAnsi="Times New Roman"/>
          <w:sz w:val="20"/>
          <w:vertAlign w:val="superscript"/>
        </w:rPr>
        <w:t>1</w:t>
      </w:r>
      <w:r>
        <w:rPr>
          <w:rFonts w:ascii="Times New Roman" w:hAnsi="Times New Roman"/>
          <w:b w:val="0"/>
          <w:i w:val="0"/>
          <w:sz w:val="20"/>
        </w:rPr>
        <w:t xml:space="preserve"> and similar specialty imbalances are debated in many other health systems. Identifying which structural determinants actually move specialty-level supply is therefore a public-health question with direct planning relevance.</w:t>
      </w:r>
    </w:p>
    <w:p>
      <w:pPr>
        <w:spacing w:line="480" w:lineRule="auto" w:after="120"/>
      </w:pPr>
      <w:r>
        <w:rPr>
          <w:rFonts w:ascii="Times New Roman" w:hAnsi="Times New Roman"/>
          <w:b w:val="0"/>
          <w:i w:val="0"/>
          <w:sz w:val="20"/>
        </w:rPr>
        <w:t>Malpractice-litigation risk is one commonly proposed deterrent. The argument is intuitive—physicians avoid fields where they are more likely to be sued—and is supported by surveys of perceived risk and defensive practice.</w:t>
      </w:r>
      <w:r>
        <w:rPr>
          <w:rFonts w:ascii="Times New Roman" w:hAnsi="Times New Roman"/>
          <w:sz w:val="20"/>
          <w:vertAlign w:val="superscript"/>
        </w:rPr>
        <w:t>2-3</w:t>
      </w:r>
      <w:r>
        <w:rPr>
          <w:rFonts w:ascii="Times New Roman" w:hAnsi="Times New Roman"/>
          <w:b w:val="0"/>
          <w:i w:val="0"/>
          <w:sz w:val="20"/>
        </w:rPr>
        <w:t xml:space="preserve"> Perceptions, defensive behaviour and actual specialty-level supply are, however, different outcomes; whether litigation exposure measurably shifts workforce supply is an empirical question.</w:t>
      </w:r>
    </w:p>
    <w:p>
      <w:pPr>
        <w:spacing w:line="480" w:lineRule="auto" w:after="120"/>
      </w:pPr>
      <w:r>
        <w:rPr>
          <w:rFonts w:ascii="Times New Roman" w:hAnsi="Times New Roman"/>
          <w:b w:val="0"/>
          <w:i w:val="0"/>
          <w:sz w:val="20"/>
        </w:rPr>
        <w:t>Three methodological problems complicate previous ecological and time-series claims. First, raw counts of claims and of physicians both scale with specialty size, so count-based associations can arise mechanically without any behavioural mechanism. Second, the Japanese physician census is biennial; interpolating it to an annual series does not create new independent information, yet treating interpolated years as observations inflates nominal degrees of freedom. Third, failing to reject a null hypothesis is not positive evidence that an effect is negligible—an underpowered null and a genuinely small effect are observationally equivalent under conventional testing.</w:t>
      </w:r>
    </w:p>
    <w:p>
      <w:pPr>
        <w:spacing w:line="480" w:lineRule="auto" w:after="120"/>
      </w:pPr>
      <w:r>
        <w:rPr>
          <w:rFonts w:ascii="Times New Roman" w:hAnsi="Times New Roman"/>
          <w:b w:val="0"/>
          <w:i w:val="0"/>
          <w:sz w:val="20"/>
        </w:rPr>
        <w:t>Equivalence testing addresses the policy question more directly. The relevant issue for workforce planning is not merely whether a litigation coefficient differs from zero, but whether litigation could plausibly produce supply changes large enough to matter. Two one-sided tests (TOST) can bound an effect within a specified margin and thus distinguish 'no evidence of an effect' from 'evidence against an effect of policy-relevant magnitude'.</w:t>
      </w:r>
      <w:r>
        <w:rPr>
          <w:rFonts w:ascii="Times New Roman" w:hAnsi="Times New Roman"/>
          <w:sz w:val="20"/>
          <w:vertAlign w:val="superscript"/>
        </w:rPr>
        <w:t>4-5</w:t>
      </w:r>
    </w:p>
    <w:p>
      <w:pPr>
        <w:spacing w:line="480" w:lineRule="auto" w:after="120"/>
      </w:pPr>
      <w:r>
        <w:rPr>
          <w:rFonts w:ascii="Times New Roman" w:hAnsi="Times New Roman"/>
          <w:b w:val="0"/>
          <w:i w:val="0"/>
          <w:sz w:val="20"/>
        </w:rPr>
        <w:t>Japan offers a useful national setting for such a test: administrative statistics report closed malpractice claims by specialty, the national physician census and the facility survey cover all specialties over a 16-year window, and the Japan Obstetric Compensation System for Cerebral Palsy (JOCS-CP), a no-fault scheme launched in January 2009, provides institutional context for the specialty most often cited in this debate.</w:t>
      </w:r>
      <w:r>
        <w:rPr>
          <w:rFonts w:ascii="Times New Roman" w:hAnsi="Times New Roman"/>
          <w:sz w:val="20"/>
          <w:vertAlign w:val="superscript"/>
        </w:rPr>
        <w:t>6</w:t>
      </w:r>
    </w:p>
    <w:p>
      <w:pPr>
        <w:spacing w:line="480" w:lineRule="auto" w:after="120"/>
      </w:pPr>
      <w:r>
        <w:rPr>
          <w:rFonts w:ascii="Times New Roman" w:hAnsi="Times New Roman"/>
          <w:b w:val="0"/>
          <w:i w:val="0"/>
          <w:sz w:val="20"/>
        </w:rPr>
        <w:t>We therefore aimed to (1) test the association between the lagged specialty-level litigation rate and biennial physician-supply change, (2) test whether any effect is statistically equivalent to a small, specified policy-relevant margin, and (3) examine the corresponding hospital (service-capacity) outcome and prespecified sensitivity analyses.</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0"/>
        </w:rPr>
        <w:t>We report this observational study following the Strengthening the Reporting of Observational Studies in Epidemiology (STROBE) guidance.</w:t>
      </w:r>
      <w:r>
        <w:rPr>
          <w:rFonts w:ascii="Times New Roman" w:hAnsi="Times New Roman"/>
          <w:sz w:val="20"/>
          <w:vertAlign w:val="superscript"/>
        </w:rPr>
        <w:t>7</w:t>
      </w:r>
      <w:r>
        <w:rPr>
          <w:rFonts w:ascii="Times New Roman" w:hAnsi="Times New Roman"/>
          <w:b w:val="0"/>
          <w:i w:val="0"/>
          <w:sz w:val="20"/>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sz w:val="20"/>
          <w:vertAlign w:val="superscript"/>
        </w:rPr>
        <w:t>8</w:t>
      </w:r>
      <w:r>
        <w:rPr>
          <w:rFonts w:ascii="Times New Roman" w:hAnsi="Times New Roman"/>
          <w:b w:val="0"/>
          <w:i w:val="0"/>
          <w:sz w:val="20"/>
        </w:rPr>
        <w:t>; closed malpractice claims by specialty from the Supreme Court of Japan</w:t>
      </w:r>
      <w:r>
        <w:rPr>
          <w:rFonts w:ascii="Times New Roman" w:hAnsi="Times New Roman"/>
          <w:sz w:val="20"/>
          <w:vertAlign w:val="superscript"/>
        </w:rPr>
        <w:t>9</w:t>
      </w:r>
      <w:r>
        <w:rPr>
          <w:rFonts w:ascii="Times New Roman" w:hAnsi="Times New Roman"/>
          <w:b w:val="0"/>
          <w:i w:val="0"/>
          <w:sz w:val="20"/>
        </w:rPr>
        <w:t>; and hospital counts by specialty from the annual Survey of Medical Institutions</w:t>
      </w:r>
      <w:r>
        <w:rPr>
          <w:rFonts w:ascii="Times New Roman" w:hAnsi="Times New Roman"/>
          <w:sz w:val="20"/>
          <w:vertAlign w:val="superscript"/>
        </w:rPr>
        <w:t>10</w:t>
      </w:r>
      <w:r>
        <w:rPr>
          <w:rFonts w:ascii="Times New Roman" w:hAnsi="Times New Roman"/>
          <w:b w:val="0"/>
          <w:i w:val="0"/>
          <w:sz w:val="20"/>
        </w:rPr>
        <w:t>. Two sensitivity series were also used: annual medical accident investigation reports by specialty from the Japan Medical Safety Research Organisation (JMSR, 2015-2025)</w:t>
      </w:r>
      <w:r>
        <w:rPr>
          <w:rFonts w:ascii="Times New Roman" w:hAnsi="Times New Roman"/>
          <w:sz w:val="20"/>
          <w:vertAlign w:val="superscript"/>
        </w:rPr>
        <w:t>11</w:t>
      </w:r>
      <w:r>
        <w:rPr>
          <w:rFonts w:ascii="Times New Roman" w:hAnsi="Times New Roman"/>
          <w:b w:val="0"/>
          <w:i w:val="0"/>
          <w:sz w:val="20"/>
        </w:rPr>
        <w:t xml:space="preserve"> and total national newspaper article counts from Nikkei Telecom 21 (2009–2018; keywords: medical accident + medical malpractice).</w:t>
      </w:r>
      <w:r>
        <w:rPr>
          <w:rFonts w:ascii="Times New Roman" w:hAnsi="Times New Roman"/>
          <w:sz w:val="20"/>
          <w:vertAlign w:val="superscript"/>
        </w:rPr>
        <w:t>12</w:t>
      </w:r>
      <w:r>
        <w:rPr>
          <w:rFonts w:ascii="Times New Roman" w:hAnsi="Times New Roman"/>
          <w:b w:val="0"/>
          <w:i w:val="0"/>
          <w:sz w:val="20"/>
        </w:rPr>
        <w:t xml:space="preserve"> The full extraction pipeline (with source identifiers and SHA-256 checksums) is documented in the accompanying repository.</w:t>
      </w:r>
    </w:p>
    <w:p>
      <w:pPr>
        <w:spacing w:line="480" w:lineRule="auto" w:after="120"/>
      </w:pPr>
      <w:r>
        <w:rPr>
          <w:rFonts w:ascii="Times New Roman" w:hAnsi="Times New Roman"/>
          <w:b w:val="0"/>
          <w:i w:val="0"/>
          <w:sz w:val="20"/>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0"/>
          <w:vertAlign w:val="superscript"/>
        </w:rPr>
        <w:t>9</w:t>
      </w:r>
      <w:r>
        <w:rPr>
          <w:rFonts w:ascii="Times New Roman" w:hAnsi="Times New Roman"/>
          <w:b w:val="0"/>
          <w:i w:val="0"/>
          <w:sz w:val="20"/>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0"/>
          <w:vertAlign w:val="superscript"/>
        </w:rPr>
        <w:t>11</w:t>
      </w:r>
      <w:r>
        <w:rPr>
          <w:rFonts w:ascii="Times New Roman" w:hAnsi="Times New Roman"/>
          <w:b w:val="0"/>
          <w:i w:val="0"/>
          <w:sz w:val="20"/>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0"/>
        </w:rPr>
        <w:t>The exposure was the litigation rate: closed claims per 1,000 physicians in each specialty-year. Scaling by the number of physicians removes the mechanical link between specialty size and claim counts.</w:t>
      </w:r>
    </w:p>
    <w:p>
      <w:pPr>
        <w:spacing w:before="0" w:after="120"/>
        <w:jc w:val="center"/>
      </w:pPr>
      <m:oMath>
        <m:sSub>
          <m:e>
            <m:r>
              <m:t>l</m:t>
            </m:r>
          </m:e>
          <m:sub>
            <m:r>
              <m:t>s,t</m:t>
            </m:r>
          </m:sub>
        </m:sSub>
        <m:r>
          <m:t> = (</m:t>
        </m:r>
        <m:f>
          <m:num>
            <m:sSub>
              <m:e>
                <m:r>
                  <m:t>C</m:t>
                </m:r>
              </m:e>
              <m:sub>
                <m:r>
                  <m:t>s,t</m:t>
                </m:r>
              </m:sub>
            </m:sSub>
          </m:num>
          <m:den>
            <m:sSub>
              <m:e>
                <m:r>
                  <m:t>P</m:t>
                </m:r>
              </m:e>
              <m:sub>
                <m:r>
                  <m:t>s,t</m:t>
                </m:r>
              </m:sub>
            </m:sSub>
          </m:den>
        </m:f>
        <m:r>
          <m:t>) × 1000</m:t>
        </m:r>
      </m:oMath>
    </w:p>
    <w:p>
      <w:pPr>
        <w:spacing w:line="480" w:lineRule="auto" w:after="120"/>
      </w:pPr>
      <w:r>
        <w:rPr>
          <w:rFonts w:ascii="Times New Roman" w:hAnsi="Times New Roman"/>
          <w:b w:val="0"/>
          <w:i w:val="0"/>
          <w:sz w:val="20"/>
        </w:rPr>
        <w:t>where C is the number of closed claims, P is the physician count, and s and t index specialties and years.</w:t>
      </w:r>
    </w:p>
    <w:p>
      <w:pPr>
        <w:spacing w:line="480" w:lineRule="auto" w:after="120"/>
      </w:pPr>
      <w:r>
        <w:rPr>
          <w:rFonts w:ascii="Times New Roman" w:hAnsi="Times New Roman"/>
          <w:b w:val="0"/>
          <w:i w:val="0"/>
          <w:sz w:val="20"/>
        </w:rPr>
        <w:t>The primary analysis used the 9 measured biennial physician waves (2008–2024). For each specialty we computed the biennial log-change in physician (or hospital) counts and regressed it on the litigation rate at the start of the interval, in a panel with specialty and wave fixed effects and standard errors clustered by specialty.</w:t>
      </w:r>
      <w:r>
        <w:rPr>
          <w:rFonts w:ascii="Times New Roman" w:hAnsi="Times New Roman"/>
          <w:sz w:val="20"/>
          <w:vertAlign w:val="superscript"/>
        </w:rPr>
        <w:t>13</w:t>
      </w:r>
      <w:r>
        <w:rPr>
          <w:rFonts w:ascii="Times New Roman" w:hAnsi="Times New Roman"/>
          <w:b w:val="0"/>
          <w:i w:val="0"/>
          <w:sz w:val="20"/>
        </w:rPr>
        <w:t xml:space="preserve"> Fixed effects absorb time-invariant specialty characteristics and common shocks, so identification comes from within-specialty deviations in litigation rate over time.</w:t>
      </w:r>
    </w:p>
    <w:p>
      <w:pPr>
        <w:spacing w:before="0" w:after="120"/>
        <w:jc w:val="center"/>
      </w:pPr>
      <m:oMath>
        <m:r>
          <m:t>Δ ln </m:t>
        </m:r>
        <m:sSub>
          <m:e>
            <m:r>
              <m:t>Y</m:t>
            </m:r>
          </m:e>
          <m:sub>
            <m:r>
              <m:t>s,t</m:t>
            </m:r>
          </m:sub>
        </m:sSub>
        <m:r>
          <m:t> = </m:t>
        </m:r>
        <m:sSub>
          <m:e>
            <m:r>
              <m:t>α</m:t>
            </m:r>
          </m:e>
          <m:sub>
            <m:r>
              <m:t>s</m:t>
            </m:r>
          </m:sub>
        </m:sSub>
        <m:r>
          <m:t> + </m:t>
        </m:r>
        <m:sSub>
          <m:e>
            <m:r>
              <m:t>γ</m:t>
            </m:r>
          </m:e>
          <m:sub>
            <m:r>
              <m:t>t</m:t>
            </m:r>
          </m:sub>
        </m:sSub>
        <m:r>
          <m:t> + </m:t>
        </m:r>
        <m:r>
          <m:t>β</m:t>
        </m:r>
        <m:sSub>
          <m:e>
            <m:r>
              <m:t>l</m:t>
            </m:r>
          </m:e>
          <m:sub>
            <m:r>
              <m:t>s,t-1</m:t>
            </m:r>
          </m:sub>
        </m:sSub>
        <m:r>
          <m:t> + </m:t>
        </m:r>
        <m:r>
          <m:t>δ</m:t>
        </m:r>
        <m:sSub>
          <m:e>
            <m:r>
              <m:t>J</m:t>
            </m:r>
          </m:e>
          <m:sub>
            <m:r>
              <m:t>s,t</m:t>
            </m:r>
          </m:sub>
        </m:sSub>
        <m:r>
          <m:t> + </m:t>
        </m:r>
        <m:sSub>
          <m:e>
            <m:r>
              <m:t>ε</m:t>
            </m:r>
          </m:e>
          <m:sub>
            <m:r>
              <m:t>s,t</m:t>
            </m:r>
          </m:sub>
        </m:sSub>
      </m:oMath>
    </w:p>
    <w:p>
      <w:pPr>
        <w:spacing w:line="480" w:lineRule="auto" w:after="120"/>
      </w:pPr>
      <w:r>
        <w:rPr>
          <w:rFonts w:ascii="Times New Roman" w:hAnsi="Times New Roman"/>
          <w:b w:val="0"/>
          <w:i w:val="0"/>
          <w:sz w:val="20"/>
        </w:rPr>
        <w:t>where ΔlnY is the biennial log-change in physicians or hospitals, α and γ are specialty and wave fixed effects, l is the one-interval-lagged litigation rate, J is the JOCS-CP indicator for obstetrics and gynaecology from January 2009 onward, and ε is the error term clustered by specialty.</w:t>
      </w:r>
    </w:p>
    <w:p>
      <w:pPr>
        <w:spacing w:line="480" w:lineRule="auto" w:after="120"/>
      </w:pPr>
      <w:r>
        <w:rPr>
          <w:rFonts w:ascii="Times New Roman" w:hAnsi="Times New Roman"/>
          <w:b w:val="0"/>
          <w:i w:val="0"/>
          <w:sz w:val="20"/>
        </w:rPr>
        <w:t>We assessed equivalence to a null effect using two one-sided tests (TOST).</w:t>
      </w:r>
      <w:r>
        <w:rPr>
          <w:rFonts w:ascii="Times New Roman" w:hAnsi="Times New Roman"/>
          <w:sz w:val="20"/>
          <w:vertAlign w:val="superscript"/>
        </w:rPr>
        <w:t>4-5</w:t>
      </w:r>
      <w:r>
        <w:rPr>
          <w:rFonts w:ascii="Times New Roman" w:hAnsi="Times New Roman"/>
          <w:b w:val="0"/>
          <w:i w:val="0"/>
          <w:sz w:val="20"/>
        </w:rPr>
        <w:t xml:space="preserve"> The exposure was standardised so the coefficient is the expected log-change per 1-SD increase in litigation rate; we specified equivalence margins of ±1% and ±2% biennial workforce change for the present analysis, as changes small enough to be unlikely to alter national specialty-workforce planning over a biennial interval, and used the number of specialty clusters minus one as the degrees of freedom. An indicator for obstetrics and gynaecology from 2009 onward captured the JOCS-CP period.</w:t>
      </w:r>
      <w:r>
        <w:rPr>
          <w:rFonts w:ascii="Times New Roman" w:hAnsi="Times New Roman"/>
          <w:sz w:val="20"/>
          <w:vertAlign w:val="superscript"/>
        </w:rPr>
        <w:t>6</w:t>
      </w:r>
      <w:r>
        <w:rPr>
          <w:rFonts w:ascii="Times New Roman" w:hAnsi="Times New Roman"/>
          <w:b w:val="0"/>
          <w:i w:val="0"/>
          <w:sz w:val="20"/>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These last two tests evaluate whether the litigation coefficient is confounded by or collinear with broader accident reporting or media coverage. The JOCS-CP indicator is interpreted as an exploratory, contextual association rather than a causal estimate of the compensation scheme. Because the primary analyses are confirmatory and null, we did not adjust for multiplicity. Analyses used Python (statsmodels); code and data are openly available.</w:t>
      </w:r>
    </w:p>
    <w:p>
      <w:pPr>
        <w:spacing w:before="0" w:after="120"/>
        <w:jc w:val="center"/>
      </w:pPr>
      <m:oMath>
        <m:sSub>
          <m:e>
            <m:r>
              <m:t>H</m:t>
            </m:r>
          </m:e>
          <m:sub>
            <m:r>
              <m:t>01</m:t>
            </m:r>
          </m:sub>
        </m:sSub>
        <m:r>
          <m:t>: β ≤ -m    </m:t>
        </m:r>
        <m:sSub>
          <m:e>
            <m:r>
              <m:t>H</m:t>
            </m:r>
          </m:e>
          <m:sub>
            <m:r>
              <m:t>02</m:t>
            </m:r>
          </m:sub>
        </m:sSub>
        <m:r>
          <m:t>: β ≥ m</m:t>
        </m:r>
      </m:oMath>
    </w:p>
    <w:p>
      <w:pPr>
        <w:spacing w:line="480" w:lineRule="auto" w:after="120"/>
      </w:pPr>
      <w:r>
        <w:rPr>
          <w:rFonts w:ascii="Times New Roman" w:hAnsi="Times New Roman"/>
          <w:b w:val="0"/>
          <w:i w:val="0"/>
          <w:sz w:val="20"/>
        </w:rPr>
        <w:t>For physician growth m = 1%; for hospital growth m = 2%. Rejecting both one-sided nulls supports the equivalence conclusion |β|&lt;m.</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0"/>
        </w:rPr>
        <w:t>Litigation rates per 1,000 physicians varied several-fold across specialties and fell over time in 10 of 12 fields (Supplementary Figure 1). Over the same period the physician workforce grew in 11 of 12 specialties (Supplementary Figure 2; Table 1); Surgery, which changed by -2.3%, was the only exception. Exposure and workforce therefore did not move in opposite directions as a flight-from-risk account would predict.</w:t>
      </w:r>
    </w:p>
    <w:p>
      <w:pPr>
        <w:spacing w:before="280" w:after="120"/>
      </w:pPr>
      <w:r>
        <w:rPr>
          <w:rFonts w:ascii="Times New Roman" w:hAnsi="Times New Roman"/>
          <w:b/>
          <w:sz w:val="20"/>
        </w:rPr>
        <w:t>Table 1. Physicians, litigation rate (per 1,000 physicians) and hospitals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Hospitals 2008</w:t>
            </w:r>
          </w:p>
        </w:tc>
        <w:tc>
          <w:tcPr>
            <w:tcW w:type="dxa" w:w="1337"/>
          </w:tcPr>
          <w:p>
            <w:pPr>
              <w:jc w:val="center"/>
            </w:pPr>
            <w:r>
              <w:rPr>
                <w:rFonts w:ascii="Times New Roman" w:hAnsi="Times New Roman"/>
                <w:b/>
                <w:sz w:val="18"/>
              </w:rPr>
              <w:t>Hospitals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Anaesthesia</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0"/>
        </w:rPr>
        <w:t>The lagged litigation rate was not associated with biennial physician growth (coefficient -0.0009; 95% CI -0.0043 to +0.0025; p=0.56; n=96) or with hospital growth (coefficient +0.0003; 95% CI -0.0050 to +0.0056; p=0.90; n=96). Equivalence testing (Figure 1; Table 2) showed that a 1-SD higher litigation rate changed biennial physician growth by less than ±1% (TOST p=0.023; point estimate -0.21% with 90% CI -0.84% to +0.42%), and hospital growth by less than ±2% (p=0.002). The data thus support, rather than merely fail to reject, the absence of an effect of policy-relevant magnitude. Detailed TOST results by margin are reported in Supplementary Table 2.</w:t>
      </w:r>
    </w:p>
    <w:p>
      <w:pPr>
        <w:spacing w:before="280" w:after="120"/>
      </w:pPr>
      <w:r>
        <w:rPr>
          <w:rFonts w:ascii="Times New Roman" w:hAnsi="Times New Roman"/>
          <w:b/>
          <w:sz w:val="20"/>
        </w:rPr>
        <w:t>Figure 1. Equivalence (TOST) of the litigation-rate effect against ±1% (physicians) and ±2% (hospitals) margins; horizontal bars are 90% confidence intervals, matching the two one-sided 5% equivalence tests.</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ph_Figure_1.png"/>
                    <pic:cNvPicPr/>
                  </pic:nvPicPr>
                  <pic:blipFill>
                    <a:blip r:embed="rId9"/>
                    <a:stretch>
                      <a:fillRect/>
                    </a:stretch>
                  </pic:blipFill>
                  <pic:spPr>
                    <a:xfrm>
                      <a:off x="0" y="0"/>
                      <a:ext cx="5303520" cy="2357120"/>
                    </a:xfrm>
                    <a:prstGeom prst="rect"/>
                  </pic:spPr>
                </pic:pic>
              </a:graphicData>
            </a:graphic>
          </wp:inline>
        </w:drawing>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-0.0005, +0.0009</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-0.0038, +0.0038</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-0.0033, +0.0014</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-1.000, +1.193</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0"/>
        </w:rPr>
        <w:t>Using raw litigation counts rather than rates did not recover a negative association in this measured-only design (p=0.51). Figure 2 illustrates the difference between the two exposure definitions: a count exposure is confounded by specialty size (panel a), whereas the size-adjusted rate is not (panel b). The annual hospital and the interpolated annual physician sensitivity analyses were also null (p=0.99 and p=0.39), illustrating the importance of exposure scaling and of restricting the analysis to measured observations. The JOCS-CP indicator was positively associated with obstetric hospital growth (coefficient +0.024; 95% CI +0.006, +0.042; p=0.013); this is an exploratory association that cannot isolate the compensation scheme from contemporaneous obstetric policies or secular change.</w:t>
      </w:r>
    </w:p>
    <w:p>
      <w:pPr>
        <w:spacing w:before="280" w:after="120"/>
      </w:pPr>
      <w:r>
        <w:rPr>
          <w:rFonts w:ascii="Times New Roman" w:hAnsi="Times New Roman"/>
          <w:b/>
          <w:sz w:val="20"/>
        </w:rPr>
        <w:t>Figure 2. Biennial physician growth against lagged litigation exposure measured as (a) counts and (b) rates.</w:t>
      </w:r>
    </w:p>
    <w:p>
      <w:pPr>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ph_Figure_2.png"/>
                    <pic:cNvPicPr/>
                  </pic:nvPicPr>
                  <pic:blipFill>
                    <a:blip r:embed="rId10"/>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0"/>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0"/>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0"/>
        </w:rPr>
        <w:t>We also evaluated the JMSR medical accident investigation report counts as a potential confounder or competing exposure.</w:t>
      </w:r>
      <w:r>
        <w:rPr>
          <w:rFonts w:ascii="Times New Roman" w:hAnsi="Times New Roman"/>
          <w:sz w:val="20"/>
          <w:vertAlign w:val="superscript"/>
        </w:rPr>
        <w:t>11</w:t>
      </w:r>
      <w:r>
        <w:rPr>
          <w:rFonts w:ascii="Times New Roman" w:hAnsi="Times New Roman"/>
          <w:b w:val="0"/>
          <w:i w:val="0"/>
          <w:sz w:val="20"/>
        </w:rPr>
        <w:t xml:space="preserve"> Over 2015-2024, raw litigation and JMSR report counts were strongly correlated across specialties (Pearson r=0.82), because large specialties generate more of both; however, after removing specialty-specific levels and trends the within-specialty correlation was negligible (r=-0.02). A model of annual hospital growth for 2016-2024 that included both the lagged litigation rate and the lagged JMSR report rate left the litigation coefficient essentially unchanged (coefficient +0.0021; 95% CI -0.0020, +0.0062; p=0.28) and the JMSR term was not associated with hospital growth (p=0.66; Supplementary Table 3). Thus, the null litigation result is not explained by, nor masked by, broader medical accident reporting.</w:t>
      </w:r>
    </w:p>
    <w:p>
      <w:pPr>
        <w:spacing w:line="480" w:lineRule="auto" w:after="120"/>
      </w:pPr>
      <w:r>
        <w:rPr>
          <w:rFonts w:ascii="Times New Roman" w:hAnsi="Times New Roman"/>
          <w:b w:val="0"/>
          <w:i w:val="0"/>
          <w:sz w:val="20"/>
        </w:rPr>
        <w:t>Finally, we tested national newspaper coverage from Nikkei Telecom 21 as a potential confounder.</w:t>
      </w:r>
      <w:r>
        <w:rPr>
          <w:rFonts w:ascii="Times New Roman" w:hAnsi="Times New Roman"/>
          <w:sz w:val="20"/>
          <w:vertAlign w:val="superscript"/>
        </w:rPr>
        <w:t>12</w:t>
      </w:r>
      <w:r>
        <w:rPr>
          <w:rFonts w:ascii="Times New Roman" w:hAnsi="Times New Roman"/>
          <w:b w:val="0"/>
          <w:i w:val="0"/>
          <w:sz w:val="20"/>
        </w:rPr>
        <w:t xml:space="preserve"> Total annual article counts (keywords: medical accident + medical malpractice) and total litigation counts were correlated (Pearson r=0.81), consistent with the public salience of high-litigation years; however, within the annual hospital panel the lagged litigation rate and the media-count series were only weakly correlated. A model of annual hospital growth for 2009-2018 that included both the lagged litigation rate and the lagged article count (per 1,000 articles) left the litigation coefficient essentially unchanged (coefficient -0.0003; 95% CI -0.0021, +0.0015; p=0.72) and the media term was not associated with hospital growth (p=0.21; Supplementary Table 4). Media coverage therefore does not account for the null litigation effect either.</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0"/>
        </w:rPr>
        <w:t>Across 12 specialties over 16 years, higher litigation rates were not followed by lower physician or hospital supply. More importantly, equivalence testing turned the conventional null into a positive statement: a 1-SD higher litigation rate was statistically equivalent to a change smaller than ±1% in biennial physician growth and ±2% in hospital growth. Litigation exposure alone is therefore unlikely to explain specialty-level workforce change of a magnitude relevant to national workforce planning in this setting.</w:t>
      </w:r>
    </w:p>
    <w:p>
      <w:pPr>
        <w:spacing w:line="480" w:lineRule="auto" w:after="120"/>
      </w:pPr>
      <w:r>
        <w:rPr>
          <w:rFonts w:ascii="Times New Roman" w:hAnsi="Times New Roman"/>
          <w:b w:val="0"/>
          <w:i w:val="0"/>
          <w:sz w:val="20"/>
        </w:rPr>
        <w:t>The distinction matters. A non-significant coefficient is compatible with effects too small to detect and with no effect at all; an equivalence test bounds the plausible effect within a stated margin. What our data exclude is a specialty-level association larger than roughly one per cent of biennial physician growth per 1-SD litigation rate; they do not exclude smaller effects, effects on individual career decisions, or effects operating through channels we do not measure.</w:t>
      </w:r>
    </w:p>
    <w:p>
      <w:pPr>
        <w:spacing w:line="480" w:lineRule="auto" w:after="120"/>
      </w:pPr>
      <w:r>
        <w:rPr>
          <w:rFonts w:ascii="Times New Roman" w:hAnsi="Times New Roman"/>
          <w:b w:val="0"/>
          <w:i w:val="0"/>
          <w:sz w:val="20"/>
        </w:rPr>
        <w:t>More broadly, the analysis narrows the plausible contribution of litigation to specialty-level workforce change: rather than merely failing to detect an association, it places an empirical bound on the magnitude that such an association could reasonably take within this setting. This illustrates the value of equivalence-based inference for workforce-policy questions in which ruling out effects of practically important magnitude may be more informative than testing only for statistical departure from zero.</w:t>
      </w:r>
    </w:p>
    <w:p>
      <w:pPr>
        <w:spacing w:line="480" w:lineRule="auto" w:after="120"/>
      </w:pPr>
      <w:r>
        <w:rPr>
          <w:rFonts w:ascii="Times New Roman" w:hAnsi="Times New Roman"/>
          <w:b w:val="0"/>
          <w:i w:val="0"/>
          <w:sz w:val="20"/>
        </w:rPr>
        <w:t>For public-health workforce planning, the implication is that specialty maldistribution is likely shaped by multiple structural determinants—remuneration, training pipelines, workload and working conditions, and geographic incentives—and that routine civil-litigation exposure contributes at most a small share of measured supply change. This does not mean litigation has no effect on behaviour, defensive practice, stress, or individual specialty preference; it means its aggregate footprint on specialty-level supply is small relative to a planning-relevant margin.</w:t>
      </w:r>
    </w:p>
    <w:p>
      <w:pPr>
        <w:spacing w:line="480" w:lineRule="auto" w:after="120"/>
      </w:pPr>
      <w:r>
        <w:rPr>
          <w:rFonts w:ascii="Times New Roman" w:hAnsi="Times New Roman"/>
          <w:b w:val="0"/>
          <w:i w:val="0"/>
          <w:sz w:val="20"/>
        </w:rPr>
        <w:t>International evidence on tort reform and physician supply is consistent with a small, heterogeneous effect. Matsa found that U.S. state damage caps increased the supply of frontier rural specialists by 10-12 percent but did not affect supply for the average resident.</w:t>
      </w:r>
      <w:r>
        <w:rPr>
          <w:rFonts w:ascii="Times New Roman" w:hAnsi="Times New Roman"/>
          <w:sz w:val="20"/>
          <w:vertAlign w:val="superscript"/>
        </w:rPr>
        <w:t>14</w:t>
      </w:r>
      <w:r>
        <w:rPr>
          <w:rFonts w:ascii="Times New Roman" w:hAnsi="Times New Roman"/>
          <w:b w:val="0"/>
          <w:i w:val="0"/>
          <w:sz w:val="20"/>
        </w:rPr>
        <w:t xml:space="preserve"> Hyman and colleagues found no measurable increase in physician supply after the 2003 Texas reforms.</w:t>
      </w:r>
      <w:r>
        <w:rPr>
          <w:rFonts w:ascii="Times New Roman" w:hAnsi="Times New Roman"/>
          <w:sz w:val="20"/>
          <w:vertAlign w:val="superscript"/>
        </w:rPr>
        <w:t>15</w:t>
      </w:r>
      <w:r>
        <w:rPr>
          <w:rFonts w:ascii="Times New Roman" w:hAnsi="Times New Roman"/>
          <w:b w:val="0"/>
          <w:i w:val="0"/>
          <w:sz w:val="20"/>
        </w:rPr>
        <w:t xml:space="preserve"> Frakes and colleagues reported localised, modest compositional shifts after negligence-standard reforms,</w:t>
      </w:r>
      <w:r>
        <w:rPr>
          <w:rFonts w:ascii="Times New Roman" w:hAnsi="Times New Roman"/>
          <w:sz w:val="20"/>
          <w:vertAlign w:val="superscript"/>
        </w:rPr>
        <w:t>16</w:t>
      </w:r>
      <w:r>
        <w:rPr>
          <w:rFonts w:ascii="Times New Roman" w:hAnsi="Times New Roman"/>
          <w:b w:val="0"/>
          <w:i w:val="0"/>
          <w:sz w:val="20"/>
        </w:rPr>
        <w:t xml:space="preserve"> and a systematic review concludes that effects are heterogeneous across states and specialties.</w:t>
      </w:r>
      <w:r>
        <w:rPr>
          <w:rFonts w:ascii="Times New Roman" w:hAnsi="Times New Roman"/>
          <w:sz w:val="20"/>
          <w:vertAlign w:val="superscript"/>
        </w:rPr>
        <w:t>17</w:t>
      </w:r>
      <w:r>
        <w:rPr>
          <w:rFonts w:ascii="Times New Roman" w:hAnsi="Times New Roman"/>
          <w:b w:val="0"/>
          <w:i w:val="0"/>
          <w:sz w:val="20"/>
        </w:rPr>
        <w:t xml:space="preserve"> These studies concern U.S. liability reforms; they are not directly transportable to Japan, but they bound the plausible size of litigation effects on supply.</w:t>
      </w:r>
    </w:p>
    <w:p>
      <w:pPr>
        <w:spacing w:line="480" w:lineRule="auto" w:after="120"/>
      </w:pPr>
      <w:r>
        <w:rPr>
          <w:rFonts w:ascii="Times New Roman" w:hAnsi="Times New Roman"/>
          <w:b w:val="0"/>
          <w:i w:val="0"/>
          <w:sz w:val="20"/>
        </w:rPr>
        <w:t>Litigation risk can also shift clinical behaviour without changing physician counts. U.S. evidence links malpractice reforms to reduced defensive spending,</w:t>
      </w:r>
      <w:r>
        <w:rPr>
          <w:rFonts w:ascii="Times New Roman" w:hAnsi="Times New Roman"/>
          <w:sz w:val="20"/>
          <w:vertAlign w:val="superscript"/>
        </w:rPr>
        <w:t>18</w:t>
      </w:r>
      <w:r>
        <w:rPr>
          <w:rFonts w:ascii="Times New Roman" w:hAnsi="Times New Roman"/>
          <w:b w:val="0"/>
          <w:i w:val="0"/>
          <w:sz w:val="20"/>
        </w:rPr>
        <w:t xml:space="preserve"> though the magnitude is debated; physicians can respond to liability pressure by changing how they practise rather than by exiting a specialty.</w:t>
      </w:r>
      <w:r>
        <w:rPr>
          <w:rFonts w:ascii="Times New Roman" w:hAnsi="Times New Roman"/>
          <w:sz w:val="20"/>
          <w:vertAlign w:val="superscript"/>
        </w:rPr>
        <w:t>19</w:t>
      </w:r>
      <w:r>
        <w:rPr>
          <w:rFonts w:ascii="Times New Roman" w:hAnsi="Times New Roman"/>
          <w:b w:val="0"/>
          <w:i w:val="0"/>
          <w:sz w:val="20"/>
        </w:rPr>
        <w:t xml:space="preserve"> In Japan, fee-for-service reimbursement rewards the high-acuity procedural work that also carries litigation exposure, so the financial return to remaining in such specialties may dominate any deterrent from civil claims.</w:t>
      </w:r>
    </w:p>
    <w:p>
      <w:pPr>
        <w:spacing w:line="480" w:lineRule="auto" w:after="120"/>
      </w:pPr>
      <w:r>
        <w:rPr>
          <w:rFonts w:ascii="Times New Roman" w:hAnsi="Times New Roman"/>
          <w:b w:val="0"/>
          <w:i w:val="0"/>
          <w:sz w:val="20"/>
        </w:rPr>
        <w:t>Japan's civil-litigation context itself is comparatively low-volume and settlement-prone: among closed malpractice claims reported by the Supreme Court between 2006 and 2021, more than half ended in settlement, plaintiffs won about a quarter of judgments, and claim numbers have declined, especially in obstetrics and gynaecology.</w:t>
      </w:r>
      <w:r>
        <w:rPr>
          <w:rFonts w:ascii="Times New Roman" w:hAnsi="Times New Roman"/>
          <w:sz w:val="20"/>
          <w:vertAlign w:val="superscript"/>
        </w:rPr>
        <w:t>20</w:t>
      </w:r>
      <w:r>
        <w:rPr>
          <w:rFonts w:ascii="Times New Roman" w:hAnsi="Times New Roman"/>
          <w:b w:val="0"/>
          <w:i w:val="0"/>
          <w:sz w:val="20"/>
        </w:rPr>
        <w:t xml:space="preserve"> Routine civil claims of this kind are distinct from criminal prosecution and high-salience events: Morita found that a criminal prosecution of an obstetrician was followed by a 13 percent decline in obstetricians,</w:t>
      </w:r>
      <w:r>
        <w:rPr>
          <w:rFonts w:ascii="Times New Roman" w:hAnsi="Times New Roman"/>
          <w:sz w:val="20"/>
          <w:vertAlign w:val="superscript"/>
        </w:rPr>
        <w:t>21</w:t>
      </w:r>
      <w:r>
        <w:rPr>
          <w:rFonts w:ascii="Times New Roman" w:hAnsi="Times New Roman"/>
          <w:b w:val="0"/>
          <w:i w:val="0"/>
          <w:sz w:val="20"/>
        </w:rPr>
        <w:t xml:space="preserve"> and a Japan–U.S. comparison links falling obstetric claim rates to the JOCS-CP scheme, guidelines and investigation systems rather than to litigation reduction alone.</w:t>
      </w:r>
      <w:r>
        <w:rPr>
          <w:rFonts w:ascii="Times New Roman" w:hAnsi="Times New Roman"/>
          <w:sz w:val="20"/>
          <w:vertAlign w:val="superscript"/>
        </w:rPr>
        <w:t>22</w:t>
      </w:r>
      <w:r>
        <w:rPr>
          <w:rFonts w:ascii="Times New Roman" w:hAnsi="Times New Roman"/>
          <w:b w:val="0"/>
          <w:i w:val="0"/>
          <w:sz w:val="20"/>
        </w:rPr>
        <w:t xml:space="preserve"> Surveys of OB/GYN residents in Japan, Korea and Taiwan likewise report litigation as a negative but secondary factor behind workload, lifestyle and professional interest.</w:t>
      </w:r>
      <w:r>
        <w:rPr>
          <w:rFonts w:ascii="Times New Roman" w:hAnsi="Times New Roman"/>
          <w:sz w:val="20"/>
          <w:vertAlign w:val="superscript"/>
        </w:rPr>
        <w:t>23</w:t>
      </w:r>
    </w:p>
    <w:p>
      <w:pPr>
        <w:spacing w:line="480" w:lineRule="auto" w:after="120"/>
      </w:pPr>
      <w:r>
        <w:rPr>
          <w:rFonts w:ascii="Times New Roman" w:hAnsi="Times New Roman"/>
          <w:b w:val="0"/>
          <w:i w:val="0"/>
          <w:sz w:val="20"/>
        </w:rPr>
        <w:t>The Japan Obstetric Compensation System for Cerebral Palsy (2009) combined no-fault compensation with investigation and prevention in a specialty facing obstetrician shortages.</w:t>
      </w:r>
      <w:r>
        <w:rPr>
          <w:rFonts w:ascii="Times New Roman" w:hAnsi="Times New Roman"/>
          <w:sz w:val="20"/>
          <w:vertAlign w:val="superscript"/>
        </w:rPr>
        <w:t>24</w:t>
      </w:r>
      <w:r>
        <w:rPr>
          <w:rFonts w:ascii="Times New Roman" w:hAnsi="Times New Roman"/>
          <w:b w:val="0"/>
          <w:i w:val="0"/>
          <w:sz w:val="20"/>
        </w:rPr>
        <w:t xml:space="preserve"> The positive JOCS-CP-period coefficient in our hospital-growth model is an exploratory association and cannot isolate the compensation scheme from contemporaneous obstetric policies or secular change; it should not be read as evidence that no-fault compensation increases hospital supply.</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0"/>
        </w:rPr>
        <w:t>These findings suggest that workforce planning should not assume that reducing routine civil-litigation exposure alone will materially increase specialty supply. Evaluation of other structural determinants—including remuneration, training pipelines, workload, geographic incentives and compensation arrangements—remains necessary. No-fault systems such as New Zealand's and the Nordic administrative schemes offer compensation without a protracted adversarial process and may be worth evaluating for Japan,</w:t>
      </w:r>
      <w:r>
        <w:rPr>
          <w:rFonts w:ascii="Times New Roman" w:hAnsi="Times New Roman"/>
          <w:sz w:val="20"/>
          <w:vertAlign w:val="superscript"/>
        </w:rPr>
        <w:t>25-26</w:t>
      </w:r>
      <w:r>
        <w:rPr>
          <w:rFonts w:ascii="Times New Roman" w:hAnsi="Times New Roman"/>
          <w:b w:val="0"/>
          <w:i w:val="0"/>
          <w:sz w:val="20"/>
        </w:rPr>
        <w:t xml:space="preserve"> but this design cannot demonstrate that any such intervention is superior. Litigation reform may still matter for defensive medicine, patient compensation and provider–patient trust; it is simply not, on the present evidence, a demonstrated lever on specialty supply.</w:t>
      </w:r>
    </w:p>
    <w:p>
      <w:pPr>
        <w:spacing w:line="480" w:lineRule="auto" w:after="120"/>
      </w:pPr>
      <w:r>
        <w:rPr>
          <w:rFonts w:ascii="Times New Roman" w:hAnsi="Times New Roman"/>
          <w:b w:val="0"/>
          <w:i w:val="0"/>
          <w:sz w:val="20"/>
        </w:rPr>
        <w:t>Future research should link individual-level or prefecture-level career data to local litigation, media and reimbursement environments, since specialty-level aggregates cannot observe risk perceptions or career intentions.</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0"/>
        </w:rPr>
        <w:t>This is an ecological, specialty-level analysis and cannot infer individual career decisions. Inference rests on 12 specialty clusters and 9 measured biennial waves; cluster-robust errors do not remove all small-cluster concerns, residual power constraints remain, and the equivalence margins are substantive, researcher-chosen judgements rather than externally mandated thresholds. Closed claims are an exposure signal, not a measure of intrinsic incident risk or of perceived litigation risk.</w:t>
      </w:r>
      <w:r>
        <w:rPr>
          <w:rFonts w:ascii="Times New Roman" w:hAnsi="Times New Roman"/>
          <w:sz w:val="20"/>
          <w:vertAlign w:val="superscript"/>
        </w:rPr>
        <w:t>9</w:t>
      </w:r>
      <w:r>
        <w:rPr>
          <w:rFonts w:ascii="Times New Roman" w:hAnsi="Times New Roman"/>
          <w:b w:val="0"/>
          <w:i w:val="0"/>
          <w:sz w:val="20"/>
        </w:rPr>
        <w:t xml:space="preserve"> Specialty-specific litigation counts could be recovered only from 2008; clinic counts are published only every 3 years; JMSR report counts cover only 2015 onward; and media article counts are national totals that cannot be decomposed by specialty. Hospital counts are only one proxy for service capacity, residual confounding and policy co-interventions cannot be excluded, and the JOCS-CP indicator is not causally identified. Finally, the findings are embedded in Japan's particular legal, cultural and institutional context and should not be assumed to generalise to health systems with different liability regimes or compensation mechanisms.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0"/>
        </w:rPr>
        <w:t>Across 2008–2024, specialty-level malpractice-litigation exposure in Japan was not associated with physician or hospital decline, and the physician effect was statistically equivalent to a change within a small specified margin. The data argue against routine specialty-level malpractice litigation being a major determinant of national physician-supply change within the tested effect-size range in Japan.</w:t>
      </w:r>
    </w:p>
    <w:p>
      <w:pPr>
        <w:pStyle w:val="Heading1"/>
      </w:pPr>
      <w:r>
        <w:rPr>
          <w:rFonts w:ascii="Times New Roman" w:hAnsi="Times New Roman"/>
          <w:color w:val="000000"/>
        </w:rPr>
        <w:t>Acknowledgements</w:t>
      </w:r>
    </w:p>
    <w:p>
      <w:pPr>
        <w:spacing w:line="480" w:lineRule="auto" w:after="120"/>
      </w:pPr>
      <w:r>
        <w:rPr>
          <w:rFonts w:ascii="Times New Roman" w:hAnsi="Times New Roman"/>
          <w:b w:val="0"/>
          <w:i w:val="0"/>
          <w:sz w:val="20"/>
        </w:rPr>
        <w:t>Declarations of interest: none. Funding: This research did not receive any specific grant from funding agencies in the public, commercial, or not-for-profit sectors. Ethical approval: Not required (secondary analysis of publicly available aggregate statistics). Data and code availability: all primary data files, extraction scripts and analysis code are openly available in the project repository, enabling full reproduction of every reported number.</w:t>
      </w:r>
    </w:p>
    <w:p>
      <w:pPr>
        <w:pStyle w:val="Heading1"/>
      </w:pPr>
      <w:r>
        <w:rPr>
          <w:rFonts w:ascii="Times New Roman" w:hAnsi="Times New Roman"/>
          <w:color w:val="000000"/>
        </w:rPr>
        <w:t>Declaration of Generative AI and AI-assisted technologies in the writing process</w:t>
      </w:r>
    </w:p>
    <w:p>
      <w:pPr>
        <w:spacing w:line="480" w:lineRule="auto" w:after="120"/>
      </w:pPr>
      <w:r>
        <w:rPr>
          <w:rFonts w:ascii="Times New Roman" w:hAnsi="Times New Roman"/>
          <w:b w:val="0"/>
          <w:i w:val="0"/>
          <w:sz w:val="20"/>
        </w:rPr>
        <w:t>Statement: During the preparation of this work the author(s) used generative AI-assisted coding tools (Cognition Devin) in order to assist with data analysis code, figure generation and manuscript drafting. After using this tool, the author(s) reviewed and edited the content as needed and take(s) full responsibility for the content of the publication.</w:t>
      </w:r>
    </w:p>
    <w:p>
      <w:pPr>
        <w:pStyle w:val="Heading1"/>
      </w:pPr>
      <w:r>
        <w:rPr>
          <w:rFonts w:ascii="Times New Roman" w:hAnsi="Times New Roman"/>
          <w:color w:val="000000"/>
        </w:rPr>
        <w:t>References</w:t>
      </w:r>
    </w:p>
    <w:p>
      <w:pPr>
        <w:spacing w:line="360" w:lineRule="auto"/>
      </w:pPr>
      <w:r>
        <w:rPr>
          <w:rFonts w:ascii="Times New Roman" w:hAnsi="Times New Roman"/>
          <w:sz w:val="20"/>
        </w:rPr>
        <w:t>1. Ikesu R, Miyawaki A, Kobayashi Y. Physician distribution by specialty and practice setting: findings in Japan in 2000, 2010 and 2016. Tohoku J Exp Med. 2020;251(1):1-8.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Yoshihara M, Tanaka S, et al. Defensive medicine practices among gastroenterologists in Japan. World J Gastroenterol. 2006;12(47):7671-7675.</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Nikkei Inc. Nikkei Telecom 21 (news and information database). Tokyo: Nikkei Inc. Accessed 2024.</w:t>
      </w:r>
    </w:p>
    <w:p>
      <w:pPr>
        <w:spacing w:line="360" w:lineRule="auto"/>
      </w:pPr>
      <w:r>
        <w:rPr>
          <w:rFonts w:ascii="Times New Roman" w:hAnsi="Times New Roman"/>
          <w:sz w:val="20"/>
        </w:rPr>
        <w:t>13. Angrist JD, Pischke JS. Mostly Harmless Econometrics. Princeton: Princeton University Press; 2009.</w:t>
      </w:r>
    </w:p>
    <w:p>
      <w:pPr>
        <w:spacing w:line="360" w:lineRule="auto"/>
      </w:pPr>
      <w:r>
        <w:rPr>
          <w:rFonts w:ascii="Times New Roman" w:hAnsi="Times New Roman"/>
          <w:sz w:val="20"/>
        </w:rPr>
        <w:t>14. Matsa DA. Does malpractice liability keep the doctor away? Evidence from tort reform damage caps. J Legal Stud. 2007;36(S2):S143-S182.</w:t>
      </w:r>
    </w:p>
    <w:p>
      <w:pPr>
        <w:spacing w:line="360" w:lineRule="auto"/>
      </w:pPr>
      <w:r>
        <w:rPr>
          <w:rFonts w:ascii="Times New Roman" w:hAnsi="Times New Roman"/>
          <w:sz w:val="20"/>
        </w:rPr>
        <w:t>15. Hyman DA, Silver C, Black B, Paik M. Does tort reform affect physician supply? Evidence from Texas. Int Rev Law Econ. 2015;42:203-218.</w:t>
      </w:r>
    </w:p>
    <w:p>
      <w:pPr>
        <w:spacing w:line="360" w:lineRule="auto"/>
      </w:pPr>
      <w:r>
        <w:rPr>
          <w:rFonts w:ascii="Times New Roman" w:hAnsi="Times New Roman"/>
          <w:sz w:val="20"/>
        </w:rPr>
        <w:t>16. Frakes MD, Frank MB, Seabury SA. The Effect of Malpractice Law on Physician Supply: Evidence from Negligence-Standard Reforms. J Health Econ. 2020;70:102272.</w:t>
      </w:r>
    </w:p>
    <w:p>
      <w:pPr>
        <w:spacing w:line="360" w:lineRule="auto"/>
      </w:pPr>
      <w:r>
        <w:rPr>
          <w:rFonts w:ascii="Times New Roman" w:hAnsi="Times New Roman"/>
          <w:sz w:val="20"/>
        </w:rPr>
        <w:t>17. Helland E, Seabury SA. Tort reform and physician labor supply: a review of the evidence. Int Rev Law Econ. 2015;42:192-202.</w:t>
      </w:r>
    </w:p>
    <w:p>
      <w:pPr>
        <w:spacing w:line="360" w:lineRule="auto"/>
      </w:pPr>
      <w:r>
        <w:rPr>
          <w:rFonts w:ascii="Times New Roman" w:hAnsi="Times New Roman"/>
          <w:sz w:val="20"/>
        </w:rPr>
        <w:t>18. Kessler DP, McClellan MB. Do doctors practice defensive medicine?. Q J Econ. 1996;111(2):353-390.</w:t>
      </w:r>
    </w:p>
    <w:p>
      <w:pPr>
        <w:spacing w:line="360" w:lineRule="auto"/>
      </w:pPr>
      <w:r>
        <w:rPr>
          <w:rFonts w:ascii="Times New Roman" w:hAnsi="Times New Roman"/>
          <w:sz w:val="20"/>
        </w:rPr>
        <w:t>19. Sloan FA, Shadle JH. Is there empirical evidence for "Defensive Medicine"? A reassessment. J Health Econ. 2008;27(2):481-491.</w:t>
      </w:r>
    </w:p>
    <w:p>
      <w:pPr>
        <w:spacing w:line="360" w:lineRule="auto"/>
      </w:pPr>
      <w:r>
        <w:rPr>
          <w:rFonts w:ascii="Times New Roman" w:hAnsi="Times New Roman"/>
          <w:sz w:val="20"/>
        </w:rPr>
        <w:t>20. Taniguchi K, Watari T, Nagoshi K. Characteristics and trends of medical malpractice claims in Japan between 2006 and 2021. PLoS One. 2023;18(12):e0296155.</w:t>
      </w:r>
    </w:p>
    <w:p>
      <w:pPr>
        <w:spacing w:line="360" w:lineRule="auto"/>
      </w:pPr>
      <w:r>
        <w:rPr>
          <w:rFonts w:ascii="Times New Roman" w:hAnsi="Times New Roman"/>
          <w:sz w:val="20"/>
        </w:rPr>
        <w:t>21. Morita H. Criminal prosecution and physician supply. Int Rev Law Econ. 2018;55:1-11.</w:t>
      </w:r>
    </w:p>
    <w:p>
      <w:pPr>
        <w:spacing w:line="360" w:lineRule="auto"/>
      </w:pPr>
      <w:r>
        <w:rPr>
          <w:rFonts w:ascii="Times New Roman" w:hAnsi="Times New Roman"/>
          <w:sz w:val="20"/>
        </w:rPr>
        <w:t>22. Kamijo K, Wada Y, Ishida K, Warsof SL, Saade G, Kawakita T. Medical-legal claims in obstetrics and gynecology: Japan versus the United States. J Healthc Risk Manag. 2025;44(4):5-11.</w:t>
      </w:r>
    </w:p>
    <w:p>
      <w:pPr>
        <w:spacing w:line="360" w:lineRule="auto"/>
      </w:pPr>
      <w:r>
        <w:rPr>
          <w:rFonts w:ascii="Times New Roman" w:hAnsi="Times New Roman"/>
          <w:sz w:val="20"/>
        </w:rPr>
        <w:t>23.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24.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25.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26. Mello MM, Kachalia A, Studdert DM. Administrative compensation for medical injuries: lessons from three foreign systems. New York: The Commonwealth Fund;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