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color w:val="000000"/>
          <w:sz w:val="22"/>
        </w:rPr>
        <w:t>Article Type: Perspective</w:t>
      </w:r>
    </w:p>
    <w:p/>
    <w:p>
      <w:pPr>
        <w:jc w:val="center"/>
      </w:pPr>
      <w:r>
        <w:rPr>
          <w:b/>
          <w:sz w:val="28"/>
        </w:rPr>
        <w:t>The Nosological Imperative: Disease Naming as Therapeutic Intervention in Pain Medicine — A Medical Sapir-Whorf Perspective</w:t>
      </w:r>
    </w:p>
    <w:p/>
    <w:p>
      <w:pPr>
        <w:jc w:val="center"/>
      </w:pPr>
      <w:r>
        <w:rPr>
          <w:sz w:val="22"/>
        </w:rPr>
        <w:t>[Author names to be added]</w:t>
      </w:r>
    </w:p>
    <w:p/>
    <w:p>
      <w:pPr>
        <w:jc w:val="center"/>
      </w:pPr>
      <w:r>
        <w:rPr>
          <w:sz w:val="22"/>
        </w:rPr>
        <w:t>[Affiliations to be added]</w:t>
      </w:r>
    </w:p>
    <w:p/>
    <w:p>
      <w:r>
        <w:rPr>
          <w:b/>
          <w:sz w:val="22"/>
        </w:rPr>
        <w:t xml:space="preserve">Corresponding Author: </w:t>
      </w:r>
      <w:r>
        <w:rPr>
          <w:sz w:val="22"/>
        </w:rPr>
        <w:t>[Name, address, email]</w:t>
      </w:r>
    </w:p>
    <w:p/>
    <w:p>
      <w:r>
        <w:rPr>
          <w:b/>
          <w:sz w:val="22"/>
        </w:rPr>
        <w:t xml:space="preserve">Word count: </w:t>
      </w:r>
      <w:r>
        <w:rPr>
          <w:sz w:val="22"/>
        </w:rPr>
        <w:t>approximately 4,500 (excluding references)</w:t>
      </w:r>
    </w:p>
    <w:p>
      <w:r>
        <w:rPr>
          <w:b/>
          <w:sz w:val="22"/>
        </w:rPr>
        <w:t xml:space="preserve">Number of tables: </w:t>
      </w:r>
      <w:r>
        <w:rPr>
          <w:sz w:val="22"/>
        </w:rPr>
        <w:t>2</w:t>
      </w:r>
    </w:p>
    <w:p>
      <w:r>
        <w:rPr>
          <w:b/>
          <w:sz w:val="22"/>
        </w:rPr>
        <w:t xml:space="preserve">Number of figures: </w:t>
      </w:r>
      <w:r>
        <w:rPr>
          <w:sz w:val="22"/>
        </w:rPr>
        <w:t>1</w:t>
      </w:r>
    </w:p>
    <w:p>
      <w:r>
        <w:br w:type="page"/>
      </w:r>
    </w:p>
    <w:p>
      <w:pPr>
        <w:jc w:val="center"/>
      </w:pPr>
      <w:r>
        <w:rPr>
          <w:b/>
          <w:sz w:val="24"/>
        </w:rPr>
        <w:t>ABSTRACT</w:t>
      </w:r>
    </w:p>
    <w:p/>
    <w:p>
      <w:r>
        <w:rPr>
          <w:sz w:val="22"/>
        </w:rPr>
        <w:t>The Sapir-Whorf hypothesis posits that language shapes cognition and perception. We propose that an analogous mechanism operates in medicine: nosological categories — the names and classifications of diseases — do not merely describe clinical reality but actively constitute it. We term this the Medical Sapir-Whorf Hypothesis. While the general principle that classification systems influence medical practice may seem obvious, we argue that the effects extend far beyond administrative convenience into genuinely therapeutic territory. Pain medicine provides a compelling domain in which to examine this thesis. Chronic pain has been historically under-classified, and patients with unclassifiable pain syndromes experience not only physical suffering but also the existential distress of diagnostic uncertainty. The introduction of a dedicated chronic pain chapter (MG30) in the International Classification of Diseases, 11th Revision (ICD-11), the formalization of nociplastic pain as a third mechanistic descriptor by the International Association for the Study of Pain (IASP), and the establishment of chronic primary pain as a disease entity in its own right collectively represent a natural experiment in therapeutic naming. We review evidence that diagnostic labeling in pain medicine influences patient beliefs, treatment-seeking behavior, clinician management decisions, research funding allocation, and health policy. We propose a theoretical framework — the Nosological Therapeutic Loop — in which disease naming triggers a self-reinforcing cycle of patient validation, clinical attention, research investment, and treatment development. We outline a research agenda to empirically test this framework using ICD-10 to ICD-11 transition data, and discuss the boundary conditions that distinguish therapeutic naming from disease mongering.</w:t>
      </w:r>
    </w:p>
    <w:p/>
    <w:p>
      <w:r>
        <w:rPr>
          <w:b/>
          <w:sz w:val="22"/>
        </w:rPr>
        <w:t xml:space="preserve">Keywords: </w:t>
      </w:r>
      <w:r>
        <w:rPr>
          <w:sz w:val="22"/>
        </w:rPr>
        <w:t>Sapir-Whorf hypothesis; nosology; chronic pain; ICD-11; diagnostic labeling; nociplastic pain; pain classification; therapeutic naming</w:t>
      </w:r>
    </w:p>
    <w:p>
      <w:r>
        <w:br w:type="page"/>
      </w:r>
    </w:p>
    <w:p>
      <w:r>
        <w:rPr>
          <w:b/>
          <w:sz w:val="24"/>
        </w:rPr>
        <w:t>1. INTRODUCTION</w:t>
      </w:r>
    </w:p>
    <w:p/>
    <w:p>
      <w:r>
        <w:rPr>
          <w:sz w:val="22"/>
        </w:rPr>
        <w:t>In 1929, Edward Sapir observed that "the 'real world' is to a large extent unconsciously built up on the language habits of the group."</w:t>
      </w:r>
      <w:r>
        <w:rPr>
          <w:sz w:val="18"/>
          <w:vertAlign w:val="superscript"/>
        </w:rPr>
        <w:t>1</w:t>
      </w:r>
      <w:r>
        <w:rPr>
          <w:sz w:val="22"/>
        </w:rPr>
        <w:t xml:space="preserve"> His student Benjamin Lee Whorf extended this insight into the hypothesis that linguistic categories shape thought and perception — a principle now known as the Sapir-Whorf hypothesis or linguistic relativity.</w:t>
      </w:r>
      <w:r>
        <w:rPr>
          <w:sz w:val="18"/>
          <w:vertAlign w:val="superscript"/>
        </w:rPr>
        <w:t>2</w:t>
      </w:r>
      <w:r>
        <w:rPr>
          <w:sz w:val="22"/>
        </w:rPr>
        <w:t xml:space="preserve"> While the strong version of this hypothesis (linguistic determinism) has been largely abandoned, the weaker version — that language influences cognition without fully determining it — has accumulated substantial empirical support across domains including color perception, spatial reasoning, and temporal cognition.</w:t>
      </w:r>
      <w:r>
        <w:rPr>
          <w:sz w:val="18"/>
          <w:vertAlign w:val="superscript"/>
        </w:rPr>
        <w:t>3</w:t>
      </w:r>
      <w:r>
        <w:rPr>
          <w:sz w:val="22"/>
        </w:rPr>
      </w:r>
    </w:p>
    <w:p>
      <w:r>
        <w:rPr>
          <w:sz w:val="22"/>
        </w:rPr>
        <w:t>We propose that an analogous mechanism operates in clinical medicine. Nosological categories — the names, definitions, and classification systems through which diseases are organized — do not merely label pre-existing clinical entities but actively shape how clinicians perceive symptoms, how patients experience illness, how researchers allocate effort, and how health systems distribute resources. We term this the Medical Sapir-Whorf Hypothesis.</w:t>
      </w:r>
    </w:p>
    <w:p>
      <w:r>
        <w:rPr>
          <w:sz w:val="22"/>
        </w:rPr>
        <w:t>At first glance, this may appear trivially true: medicine is a social institution, and of course its conceptual frameworks influence its practice. However, we argue that the effects of nosological categories extend into genuinely therapeutic territory — that the act of naming a disease can itself constitute a form of treatment. If this is correct, then the field of pain medicine, where chronic conditions have been historically under-classified and patients frequently endure years of diagnostic uncertainty, represents the domain where nosological expansion carries the greatest therapeutic potential.</w:t>
      </w:r>
    </w:p>
    <w:p>
      <w:r>
        <w:rPr>
          <w:sz w:val="22"/>
        </w:rPr>
        <w:t>This perspective article develops the Medical Sapir-Whorf Hypothesis with specific reference to pain medicine. We draw on three recent developments — the ICD-11 chronic pain classification (MG30), the formalization of nociplastic pain by the International Association for the Study of Pain (IASP), and emerging evidence on the psychological effects of diagnostic labeling — to argue that pain medicine is uniquely positioned to benefit from deliberate nosological expansion. We propose a formal theoretical model (the Nosological Therapeutic Loop), outline a research agenda, and address the critical boundary between therapeutic naming and disease mongering.</w:t>
      </w:r>
    </w:p>
    <w:p/>
    <w:p>
      <w:r>
        <w:rPr>
          <w:b/>
          <w:sz w:val="24"/>
        </w:rPr>
        <w:t>2. THEORETICAL FRAMEWORK: FROM LINGUISTIC TO NOSOLOGICAL RELATIVITY</w:t>
      </w:r>
    </w:p>
    <w:p/>
    <w:p>
      <w:r>
        <w:rPr>
          <w:b/>
          <w:sz w:val="22"/>
        </w:rPr>
        <w:t>2.1 The Sapir-Whorf Hypothesis in Its Original Form</w:t>
      </w:r>
    </w:p>
    <w:p>
      <w:r>
        <w:rPr>
          <w:sz w:val="22"/>
        </w:rPr>
        <w:t>The classical Sapir-Whorf hypothesis exists along a continuum from strong determinism (language determines thought) to weak relativism (language influences thought). Contemporary research supports the weaker form: speakers of languages with different color term boundaries show measurably different performance on color discrimination tasks,</w:t>
      </w:r>
      <w:r>
        <w:rPr>
          <w:sz w:val="18"/>
          <w:vertAlign w:val="superscript"/>
        </w:rPr>
        <w:t>3</w:t>
      </w:r>
      <w:r>
        <w:rPr>
          <w:sz w:val="22"/>
        </w:rPr>
        <w:t xml:space="preserve"> and speakers of languages with absolute spatial reference frames demonstrate superior dead-reckoning abilities compared to speakers of languages using relative frames.</w:t>
      </w:r>
      <w:r>
        <w:rPr>
          <w:sz w:val="18"/>
          <w:vertAlign w:val="superscript"/>
        </w:rPr>
        <w:t>4</w:t>
      </w:r>
      <w:r>
        <w:rPr>
          <w:sz w:val="22"/>
        </w:rPr>
      </w:r>
    </w:p>
    <w:p>
      <w:r>
        <w:rPr>
          <w:sz w:val="22"/>
        </w:rPr>
        <w:t>Critically, these effects are not merely epiphenomenal. Linguistic categories create cognitive scaffolding that facilitates certain patterns of attention, memory, and reasoning while inhibiting others. The categories do not create the phenomena they describe — colors exist independently of color terms — but they shape how those phenomena are perceived, processed, and acted upon.</w:t>
      </w:r>
    </w:p>
    <w:p/>
    <w:p>
      <w:r>
        <w:rPr>
          <w:b/>
          <w:sz w:val="22"/>
        </w:rPr>
        <w:t>2.2 The Medical Sapir-Whorf Hypothesis</w:t>
      </w:r>
    </w:p>
    <w:p>
      <w:r>
        <w:rPr>
          <w:sz w:val="22"/>
        </w:rPr>
        <w:t>We define the Medical Sapir-Whorf Hypothesis as follows: nosological categories shape clinical cognition, patient experience, and healthcare system behavior in ways that extend beyond the mere administrative function of classification. Specifically, we propose that disease names operate through at least five distinct channels:</w:t>
      </w:r>
    </w:p>
    <w:p>
      <w:pPr>
        <w:ind w:left="720"/>
      </w:pPr>
      <w:r>
        <w:rPr>
          <w:sz w:val="22"/>
        </w:rPr>
        <w:t xml:space="preserve">(1) </w:t>
      </w:r>
      <w:r>
        <w:rPr>
          <w:b/>
          <w:sz w:val="22"/>
        </w:rPr>
        <w:t xml:space="preserve">Perceptual channeling: </w:t>
      </w:r>
      <w:r>
        <w:rPr>
          <w:sz w:val="22"/>
        </w:rPr>
        <w:t>Disease categories direct clinician attention toward certain symptom constellations and away from others. A clinician who has the concept of "nociplastic pain" will perceive and interpret a patient's presentation differently from one who lacks this category.</w:t>
      </w:r>
      <w:r>
        <w:rPr>
          <w:sz w:val="18"/>
          <w:vertAlign w:val="superscript"/>
        </w:rPr>
        <w:t>5</w:t>
      </w:r>
      <w:r>
        <w:rPr>
          <w:sz w:val="22"/>
        </w:rPr>
      </w:r>
    </w:p>
    <w:p>
      <w:pPr>
        <w:ind w:left="720"/>
      </w:pPr>
      <w:r>
        <w:rPr>
          <w:sz w:val="22"/>
        </w:rPr>
        <w:t xml:space="preserve">(2) </w:t>
      </w:r>
      <w:r>
        <w:rPr>
          <w:b/>
          <w:sz w:val="22"/>
        </w:rPr>
        <w:t xml:space="preserve">Diagnostic foreclosure: </w:t>
      </w:r>
      <w:r>
        <w:rPr>
          <w:sz w:val="22"/>
        </w:rPr>
        <w:t>Once a disease name is assigned, clinical investigation tends to stop at the boundary of that category. The label becomes a cognitive endpoint that both enables treatment and constrains further inquiry.</w:t>
      </w:r>
      <w:r>
        <w:rPr>
          <w:sz w:val="18"/>
          <w:vertAlign w:val="superscript"/>
        </w:rPr>
        <w:t>6</w:t>
      </w:r>
      <w:r>
        <w:rPr>
          <w:sz w:val="22"/>
        </w:rPr>
      </w:r>
    </w:p>
    <w:p>
      <w:pPr>
        <w:ind w:left="720"/>
      </w:pPr>
      <w:r>
        <w:rPr>
          <w:sz w:val="22"/>
        </w:rPr>
        <w:t xml:space="preserve">(3) </w:t>
      </w:r>
      <w:r>
        <w:rPr>
          <w:b/>
          <w:sz w:val="22"/>
        </w:rPr>
        <w:t xml:space="preserve">Patient ontological validation: </w:t>
      </w:r>
      <w:r>
        <w:rPr>
          <w:sz w:val="22"/>
        </w:rPr>
        <w:t>Receiving a disease name transforms a patient's subjective experience from "symptoms without explanation" to "a recognized medical condition." This transition carries measurable psychological and even physiological consequences.</w:t>
      </w:r>
      <w:r>
        <w:rPr>
          <w:sz w:val="18"/>
          <w:vertAlign w:val="superscript"/>
        </w:rPr>
        <w:t>7</w:t>
      </w:r>
      <w:r>
        <w:rPr>
          <w:sz w:val="22"/>
        </w:rPr>
      </w:r>
    </w:p>
    <w:p>
      <w:pPr>
        <w:ind w:left="720"/>
      </w:pPr>
      <w:r>
        <w:rPr>
          <w:sz w:val="22"/>
        </w:rPr>
        <w:t xml:space="preserve">(4) </w:t>
      </w:r>
      <w:r>
        <w:rPr>
          <w:b/>
          <w:sz w:val="22"/>
        </w:rPr>
        <w:t xml:space="preserve">Research infrastructure alignment: </w:t>
      </w:r>
      <w:r>
        <w:rPr>
          <w:sz w:val="22"/>
        </w:rPr>
        <w:t>Funding bodies, specialty journals, and clinical trial registries are organized around disease categories. Conditions without recognized nosological status are systematically under-researched — not because they are unimportant, but because they lack the categorical infrastructure necessary to attract sustained scientific attention.</w:t>
      </w:r>
      <w:r>
        <w:rPr>
          <w:sz w:val="18"/>
          <w:vertAlign w:val="superscript"/>
        </w:rPr>
        <w:t>8</w:t>
      </w:r>
      <w:r>
        <w:rPr>
          <w:sz w:val="22"/>
        </w:rPr>
      </w:r>
    </w:p>
    <w:p>
      <w:pPr>
        <w:ind w:left="720"/>
      </w:pPr>
      <w:r>
        <w:rPr>
          <w:sz w:val="22"/>
        </w:rPr>
        <w:t xml:space="preserve">(5) </w:t>
      </w:r>
      <w:r>
        <w:rPr>
          <w:b/>
          <w:sz w:val="22"/>
        </w:rPr>
        <w:t xml:space="preserve">Policy and resource allocation: </w:t>
      </w:r>
      <w:r>
        <w:rPr>
          <w:sz w:val="22"/>
        </w:rPr>
        <w:t>Health systems allocate resources — specialist training positions, dedicated clinics, reimbursement codes — according to recognized disease categories. Unnamed conditions are structurally invisible to healthcare planning.</w:t>
      </w:r>
      <w:r>
        <w:rPr>
          <w:sz w:val="18"/>
          <w:vertAlign w:val="superscript"/>
        </w:rPr>
        <w:t>9</w:t>
      </w:r>
      <w:r>
        <w:rPr>
          <w:sz w:val="22"/>
        </w:rPr>
      </w:r>
    </w:p>
    <w:p/>
    <w:p>
      <w:r>
        <w:rPr>
          <w:b/>
          <w:sz w:val="22"/>
        </w:rPr>
        <w:t>2.3 Precedents: Hacking's Looping Effects and Kleinman's Illness Narratives</w:t>
      </w:r>
    </w:p>
    <w:p>
      <w:r>
        <w:rPr>
          <w:sz w:val="22"/>
        </w:rPr>
        <w:t>Our framework builds on two important intellectual precedents. Ian Hacking's concept of "looping effects" describes how classificatory categories in the human sciences interact with the people they classify: the category shapes behavior, the changed behavior feeds back into the category, and the category evolves in response.</w:t>
      </w:r>
      <w:r>
        <w:rPr>
          <w:sz w:val="18"/>
          <w:vertAlign w:val="superscript"/>
        </w:rPr>
        <w:t>10</w:t>
      </w:r>
      <w:r>
        <w:rPr>
          <w:sz w:val="22"/>
        </w:rPr>
        <w:t xml:space="preserve"> In psychiatry, this dynamic is well documented — DSM categories influence patient self-identification, which in turn shapes symptom presentation, which eventually prompts diagnostic revision.</w:t>
      </w:r>
      <w:r>
        <w:rPr>
          <w:sz w:val="18"/>
          <w:vertAlign w:val="superscript"/>
        </w:rPr>
        <w:t>11</w:t>
      </w:r>
      <w:r>
        <w:rPr>
          <w:sz w:val="22"/>
        </w:rPr>
      </w:r>
    </w:p>
    <w:p>
      <w:r>
        <w:rPr>
          <w:sz w:val="22"/>
        </w:rPr>
        <w:t>Arthur Kleinman's distinction between disease (the biomedical entity) and illness (the lived experience) is equally relevant.</w:t>
      </w:r>
      <w:r>
        <w:rPr>
          <w:sz w:val="18"/>
          <w:vertAlign w:val="superscript"/>
        </w:rPr>
        <w:t>12</w:t>
      </w:r>
      <w:r>
        <w:rPr>
          <w:sz w:val="22"/>
        </w:rPr>
        <w:t xml:space="preserve"> Kleinman showed that clinical encounters are sites of negotiation between explanatory models, and that the physician's act of naming — translating illness into disease — carries profound consequences for the patient's experience. Notably, Kleinman also documented that certain illness experiences, such as anorexia nervosa, persist even in cultural contexts where the prevailing social values would seem to preclude them, suggesting that while naming shapes experience, it does not create disease de novo.</w:t>
      </w:r>
      <w:r>
        <w:rPr>
          <w:sz w:val="18"/>
          <w:vertAlign w:val="superscript"/>
        </w:rPr>
        <w:t>12</w:t>
      </w:r>
      <w:r>
        <w:rPr>
          <w:sz w:val="22"/>
        </w:rPr>
      </w:r>
    </w:p>
    <w:p>
      <w:r>
        <w:rPr>
          <w:sz w:val="22"/>
        </w:rPr>
        <w:t>The Medical Sapir-Whorf Hypothesis synthesizes these insights: disease names are neither passive labels for pre-existing natural kinds nor arbitrary social constructions, but active cognitive-institutional tools that shape the clinical reality they purport to describe.</w:t>
      </w:r>
    </w:p>
    <w:p/>
    <w:p>
      <w:r>
        <w:rPr>
          <w:b/>
          <w:sz w:val="24"/>
        </w:rPr>
        <w:t>3. PAIN MEDICINE AS THE IDEAL TEST CASE</w:t>
      </w:r>
    </w:p>
    <w:p/>
    <w:p>
      <w:r>
        <w:rPr>
          <w:b/>
          <w:sz w:val="22"/>
        </w:rPr>
        <w:t>3.1 The Historical Under-Classification of Chronic Pain</w:t>
      </w:r>
    </w:p>
    <w:p>
      <w:r>
        <w:rPr>
          <w:sz w:val="22"/>
        </w:rPr>
        <w:t>Chronic pain affects approximately one in five adults globally and represents a leading cause of years lived with disability.</w:t>
      </w:r>
      <w:r>
        <w:rPr>
          <w:sz w:val="18"/>
          <w:vertAlign w:val="superscript"/>
        </w:rPr>
        <w:t>13,14</w:t>
      </w:r>
      <w:r>
        <w:rPr>
          <w:sz w:val="22"/>
        </w:rPr>
        <w:t xml:space="preserve"> Despite this enormous burden, chronic pain was poorly represented in the International Classification of Diseases (ICD) through its tenth revision. In ICD-10, chronic pain diagnoses were scattered across multiple chapters (F, G, M, R), did not differentiate between acute and chronic presentations, and included ambiguous categories such as "R52.2 Other chronic pain" that provided no meaningful clinical information.</w:t>
      </w:r>
      <w:r>
        <w:rPr>
          <w:sz w:val="18"/>
          <w:vertAlign w:val="superscript"/>
        </w:rPr>
        <w:t>15</w:t>
      </w:r>
      <w:r>
        <w:rPr>
          <w:sz w:val="22"/>
        </w:rPr>
      </w:r>
    </w:p>
    <w:p>
      <w:r>
        <w:rPr>
          <w:sz w:val="22"/>
        </w:rPr>
        <w:t>The consequences of this nosological poverty were not merely administrative. A study comparing ICD-10 and ICD-11 coding in a Thai pain clinic found that under ICD-10, roughly one-third of patient encounters were coded as "other chronic pain," and the next most common codes specified pain region rather than underlying cause.</w:t>
      </w:r>
      <w:r>
        <w:rPr>
          <w:sz w:val="18"/>
          <w:vertAlign w:val="superscript"/>
        </w:rPr>
        <w:t>16</w:t>
      </w:r>
      <w:r>
        <w:rPr>
          <w:sz w:val="22"/>
        </w:rPr>
        <w:t xml:space="preserve"> Chronic pain was, in a precise nosological sense, invisible: it could not be counted, compared, or prioritized because the language to describe it did not exist within the classification system.</w:t>
      </w:r>
    </w:p>
    <w:p/>
    <w:p>
      <w:r>
        <w:rPr>
          <w:b/>
          <w:sz w:val="22"/>
        </w:rPr>
        <w:t>3.2 The ICD-11 Chronic Pain Classification: A Nosological Revolution</w:t>
      </w:r>
    </w:p>
    <w:p>
      <w:r>
        <w:rPr>
          <w:sz w:val="22"/>
        </w:rPr>
        <w:t>The ICD-11, approved by the World Health Assembly in 2019, introduced a dedicated chapter for chronic pain under MG30, developed by an international task force convened by IASP.</w:t>
      </w:r>
      <w:r>
        <w:rPr>
          <w:sz w:val="18"/>
          <w:vertAlign w:val="superscript"/>
        </w:rPr>
        <w:t>17</w:t>
      </w:r>
      <w:r>
        <w:rPr>
          <w:sz w:val="22"/>
        </w:rPr>
        <w:t xml:space="preserve"> This classification established seven main categories (Table 1), each with multiple diagnostic levels ranging from primary care to specialized pain treatment.</w:t>
      </w:r>
    </w:p>
    <w:p/>
    <w:p>
      <w:r>
        <w:rPr>
          <w:b/>
          <w:sz w:val="20"/>
        </w:rPr>
        <w:t xml:space="preserve">Table 1. </w:t>
      </w:r>
      <w:r>
        <w:rPr>
          <w:sz w:val="20"/>
        </w:rPr>
        <w:t>ICD-11 Chronic Pain Classification (MG30) with Medical Sapir-Whorf implications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left"/>
            </w:pPr>
            <w:r/>
            <w:r>
              <w:rPr>
                <w:b/>
                <w:sz w:val="18"/>
              </w:rPr>
              <w:t>ICD-11 Code</w:t>
            </w:r>
          </w:p>
        </w:tc>
        <w:tc>
          <w:tcPr>
            <w:tcW w:type="dxa" w:w="2340"/>
          </w:tcPr>
          <w:p>
            <w:pPr>
              <w:jc w:val="left"/>
            </w:pPr>
            <w:r/>
            <w:r>
              <w:rPr>
                <w:b/>
                <w:sz w:val="18"/>
              </w:rPr>
              <w:t>Category</w:t>
            </w:r>
          </w:p>
        </w:tc>
        <w:tc>
          <w:tcPr>
            <w:tcW w:type="dxa" w:w="2340"/>
          </w:tcPr>
          <w:p>
            <w:pPr>
              <w:jc w:val="left"/>
            </w:pPr>
            <w:r/>
            <w:r>
              <w:rPr>
                <w:b/>
                <w:sz w:val="18"/>
              </w:rPr>
              <w:t>Key Innovation over ICD-10</w:t>
            </w:r>
          </w:p>
        </w:tc>
        <w:tc>
          <w:tcPr>
            <w:tcW w:type="dxa" w:w="2340"/>
          </w:tcPr>
          <w:p>
            <w:pPr>
              <w:jc w:val="left"/>
            </w:pPr>
            <w:r/>
            <w:r>
              <w:rPr>
                <w:b/>
                <w:sz w:val="18"/>
              </w:rPr>
              <w:t>Sapir-Whorf Implication</w:t>
            </w:r>
          </w:p>
        </w:tc>
      </w:tr>
      <w:tr>
        <w:tc>
          <w:tcPr>
            <w:tcW w:type="dxa" w:w="2340"/>
          </w:tcPr>
          <w:p>
            <w:pPr>
              <w:jc w:val="left"/>
            </w:pPr>
            <w:r/>
            <w:r>
              <w:rPr>
                <w:b w:val="0"/>
                <w:sz w:val="18"/>
              </w:rPr>
              <w:t>MG30.0</w:t>
            </w:r>
          </w:p>
        </w:tc>
        <w:tc>
          <w:tcPr>
            <w:tcW w:type="dxa" w:w="2340"/>
          </w:tcPr>
          <w:p>
            <w:pPr>
              <w:jc w:val="left"/>
            </w:pPr>
            <w:r/>
            <w:r>
              <w:rPr>
                <w:b w:val="0"/>
                <w:sz w:val="18"/>
              </w:rPr>
              <w:t>Chronic primary pain</w:t>
            </w:r>
          </w:p>
        </w:tc>
        <w:tc>
          <w:tcPr>
            <w:tcW w:type="dxa" w:w="2340"/>
          </w:tcPr>
          <w:p>
            <w:pPr>
              <w:jc w:val="left"/>
            </w:pPr>
            <w:r/>
            <w:r>
              <w:rPr>
                <w:b w:val="0"/>
                <w:sz w:val="18"/>
              </w:rPr>
              <w:t>Pain as disease entity, not symptom</w:t>
            </w:r>
          </w:p>
        </w:tc>
        <w:tc>
          <w:tcPr>
            <w:tcW w:type="dxa" w:w="2340"/>
          </w:tcPr>
          <w:p>
            <w:pPr>
              <w:jc w:val="left"/>
            </w:pPr>
            <w:r/>
            <w:r>
              <w:rPr>
                <w:b w:val="0"/>
                <w:sz w:val="18"/>
              </w:rPr>
              <w:t>Validates pain without identifiable cause; reduces diagnostic nihilism</w:t>
            </w:r>
          </w:p>
        </w:tc>
      </w:tr>
      <w:tr>
        <w:tc>
          <w:tcPr>
            <w:tcW w:type="dxa" w:w="2340"/>
          </w:tcPr>
          <w:p>
            <w:pPr>
              <w:jc w:val="left"/>
            </w:pPr>
            <w:r/>
            <w:r>
              <w:rPr>
                <w:b w:val="0"/>
                <w:sz w:val="18"/>
              </w:rPr>
              <w:t>MG30.1</w:t>
            </w:r>
          </w:p>
        </w:tc>
        <w:tc>
          <w:tcPr>
            <w:tcW w:type="dxa" w:w="2340"/>
          </w:tcPr>
          <w:p>
            <w:pPr>
              <w:jc w:val="left"/>
            </w:pPr>
            <w:r/>
            <w:r>
              <w:rPr>
                <w:b w:val="0"/>
                <w:sz w:val="18"/>
              </w:rPr>
              <w:t>Chronic cancer-related pain</w:t>
            </w:r>
          </w:p>
        </w:tc>
        <w:tc>
          <w:tcPr>
            <w:tcW w:type="dxa" w:w="2340"/>
          </w:tcPr>
          <w:p>
            <w:pPr>
              <w:jc w:val="left"/>
            </w:pPr>
            <w:r/>
            <w:r>
              <w:rPr>
                <w:b w:val="0"/>
                <w:sz w:val="18"/>
              </w:rPr>
              <w:t>Distinguishes cancer pain from cancer itself</w:t>
            </w:r>
          </w:p>
        </w:tc>
        <w:tc>
          <w:tcPr>
            <w:tcW w:type="dxa" w:w="2340"/>
          </w:tcPr>
          <w:p>
            <w:pPr>
              <w:jc w:val="left"/>
            </w:pPr>
            <w:r/>
            <w:r>
              <w:rPr>
                <w:b w:val="0"/>
                <w:sz w:val="18"/>
              </w:rPr>
              <w:t>Enables pain-specific treatment alongside oncology</w:t>
            </w:r>
          </w:p>
        </w:tc>
      </w:tr>
      <w:tr>
        <w:tc>
          <w:tcPr>
            <w:tcW w:type="dxa" w:w="2340"/>
          </w:tcPr>
          <w:p>
            <w:pPr>
              <w:jc w:val="left"/>
            </w:pPr>
            <w:r/>
            <w:r>
              <w:rPr>
                <w:b w:val="0"/>
                <w:sz w:val="18"/>
              </w:rPr>
              <w:t>MG30.2</w:t>
            </w:r>
          </w:p>
        </w:tc>
        <w:tc>
          <w:tcPr>
            <w:tcW w:type="dxa" w:w="2340"/>
          </w:tcPr>
          <w:p>
            <w:pPr>
              <w:jc w:val="left"/>
            </w:pPr>
            <w:r/>
            <w:r>
              <w:rPr>
                <w:b w:val="0"/>
                <w:sz w:val="18"/>
              </w:rPr>
              <w:t>Chronic postsurgical or post-traumatic pain</w:t>
            </w:r>
          </w:p>
        </w:tc>
        <w:tc>
          <w:tcPr>
            <w:tcW w:type="dxa" w:w="2340"/>
          </w:tcPr>
          <w:p>
            <w:pPr>
              <w:jc w:val="left"/>
            </w:pPr>
            <w:r/>
            <w:r>
              <w:rPr>
                <w:b w:val="0"/>
                <w:sz w:val="18"/>
              </w:rPr>
              <w:t>Previously invisible category</w:t>
            </w:r>
          </w:p>
        </w:tc>
        <w:tc>
          <w:tcPr>
            <w:tcW w:type="dxa" w:w="2340"/>
          </w:tcPr>
          <w:p>
            <w:pPr>
              <w:jc w:val="left"/>
            </w:pPr>
            <w:r/>
            <w:r>
              <w:rPr>
                <w:b w:val="0"/>
                <w:sz w:val="18"/>
              </w:rPr>
              <w:t>Makes iatrogenic/injury-related chronification visible</w:t>
            </w:r>
          </w:p>
        </w:tc>
      </w:tr>
      <w:tr>
        <w:tc>
          <w:tcPr>
            <w:tcW w:type="dxa" w:w="2340"/>
          </w:tcPr>
          <w:p>
            <w:pPr>
              <w:jc w:val="left"/>
            </w:pPr>
            <w:r/>
            <w:r>
              <w:rPr>
                <w:b w:val="0"/>
                <w:sz w:val="18"/>
              </w:rPr>
              <w:t>MG30.3</w:t>
            </w:r>
          </w:p>
        </w:tc>
        <w:tc>
          <w:tcPr>
            <w:tcW w:type="dxa" w:w="2340"/>
          </w:tcPr>
          <w:p>
            <w:pPr>
              <w:jc w:val="left"/>
            </w:pPr>
            <w:r/>
            <w:r>
              <w:rPr>
                <w:b w:val="0"/>
                <w:sz w:val="18"/>
              </w:rPr>
              <w:t>Chronic secondary musculoskeletal pain</w:t>
            </w:r>
          </w:p>
        </w:tc>
        <w:tc>
          <w:tcPr>
            <w:tcW w:type="dxa" w:w="2340"/>
          </w:tcPr>
          <w:p>
            <w:pPr>
              <w:jc w:val="left"/>
            </w:pPr>
            <w:r/>
            <w:r>
              <w:rPr>
                <w:b w:val="0"/>
                <w:sz w:val="18"/>
              </w:rPr>
              <w:t>Differentiates chronic from acute MSK pain</w:t>
            </w:r>
          </w:p>
        </w:tc>
        <w:tc>
          <w:tcPr>
            <w:tcW w:type="dxa" w:w="2340"/>
          </w:tcPr>
          <w:p>
            <w:pPr>
              <w:jc w:val="left"/>
            </w:pPr>
            <w:r/>
            <w:r>
              <w:rPr>
                <w:b w:val="0"/>
                <w:sz w:val="18"/>
              </w:rPr>
              <w:t>Shifts framing from structural pathology to pain chronification</w:t>
            </w:r>
          </w:p>
        </w:tc>
      </w:tr>
      <w:tr>
        <w:tc>
          <w:tcPr>
            <w:tcW w:type="dxa" w:w="2340"/>
          </w:tcPr>
          <w:p>
            <w:pPr>
              <w:jc w:val="left"/>
            </w:pPr>
            <w:r/>
            <w:r>
              <w:rPr>
                <w:b w:val="0"/>
                <w:sz w:val="18"/>
              </w:rPr>
              <w:t>MG30.4</w:t>
            </w:r>
          </w:p>
        </w:tc>
        <w:tc>
          <w:tcPr>
            <w:tcW w:type="dxa" w:w="2340"/>
          </w:tcPr>
          <w:p>
            <w:pPr>
              <w:jc w:val="left"/>
            </w:pPr>
            <w:r/>
            <w:r>
              <w:rPr>
                <w:b w:val="0"/>
                <w:sz w:val="18"/>
              </w:rPr>
              <w:t>Chronic secondary visceral pain</w:t>
            </w:r>
          </w:p>
        </w:tc>
        <w:tc>
          <w:tcPr>
            <w:tcW w:type="dxa" w:w="2340"/>
          </w:tcPr>
          <w:p>
            <w:pPr>
              <w:jc w:val="left"/>
            </w:pPr>
            <w:r/>
            <w:r>
              <w:rPr>
                <w:b w:val="0"/>
                <w:sz w:val="18"/>
              </w:rPr>
              <w:t>Previously coded as organ-specific diagnoses only</w:t>
            </w:r>
          </w:p>
        </w:tc>
        <w:tc>
          <w:tcPr>
            <w:tcW w:type="dxa" w:w="2340"/>
          </w:tcPr>
          <w:p>
            <w:pPr>
              <w:jc w:val="left"/>
            </w:pPr>
            <w:r/>
            <w:r>
              <w:rPr>
                <w:b w:val="0"/>
                <w:sz w:val="18"/>
              </w:rPr>
              <w:t>Recognizes pain as independent clinical target</w:t>
            </w:r>
          </w:p>
        </w:tc>
      </w:tr>
      <w:tr>
        <w:tc>
          <w:tcPr>
            <w:tcW w:type="dxa" w:w="2340"/>
          </w:tcPr>
          <w:p>
            <w:pPr>
              <w:jc w:val="left"/>
            </w:pPr>
            <w:r/>
            <w:r>
              <w:rPr>
                <w:b w:val="0"/>
                <w:sz w:val="18"/>
              </w:rPr>
              <w:t>MG30.5</w:t>
            </w:r>
          </w:p>
        </w:tc>
        <w:tc>
          <w:tcPr>
            <w:tcW w:type="dxa" w:w="2340"/>
          </w:tcPr>
          <w:p>
            <w:pPr>
              <w:jc w:val="left"/>
            </w:pPr>
            <w:r/>
            <w:r>
              <w:rPr>
                <w:b w:val="0"/>
                <w:sz w:val="18"/>
              </w:rPr>
              <w:t>Chronic neuropathic pain</w:t>
            </w:r>
          </w:p>
        </w:tc>
        <w:tc>
          <w:tcPr>
            <w:tcW w:type="dxa" w:w="2340"/>
          </w:tcPr>
          <w:p>
            <w:pPr>
              <w:jc w:val="left"/>
            </w:pPr>
            <w:r/>
            <w:r>
              <w:rPr>
                <w:b w:val="0"/>
                <w:sz w:val="18"/>
              </w:rPr>
              <w:t>Unified category across etiologies</w:t>
            </w:r>
          </w:p>
        </w:tc>
        <w:tc>
          <w:tcPr>
            <w:tcW w:type="dxa" w:w="2340"/>
          </w:tcPr>
          <w:p>
            <w:pPr>
              <w:jc w:val="left"/>
            </w:pPr>
            <w:r/>
            <w:r>
              <w:rPr>
                <w:b w:val="0"/>
                <w:sz w:val="18"/>
              </w:rPr>
              <w:t>Creates coherent research and treatment framework</w:t>
            </w:r>
          </w:p>
        </w:tc>
      </w:tr>
      <w:tr>
        <w:tc>
          <w:tcPr>
            <w:tcW w:type="dxa" w:w="2340"/>
          </w:tcPr>
          <w:p>
            <w:pPr>
              <w:jc w:val="left"/>
            </w:pPr>
            <w:r/>
            <w:r>
              <w:rPr>
                <w:b w:val="0"/>
                <w:sz w:val="18"/>
              </w:rPr>
              <w:t>MG30.6</w:t>
            </w:r>
          </w:p>
        </w:tc>
        <w:tc>
          <w:tcPr>
            <w:tcW w:type="dxa" w:w="2340"/>
          </w:tcPr>
          <w:p>
            <w:pPr>
              <w:jc w:val="left"/>
            </w:pPr>
            <w:r/>
            <w:r>
              <w:rPr>
                <w:b w:val="0"/>
                <w:sz w:val="18"/>
              </w:rPr>
              <w:t>Chronic secondary headache or orofacial pain</w:t>
            </w:r>
          </w:p>
        </w:tc>
        <w:tc>
          <w:tcPr>
            <w:tcW w:type="dxa" w:w="2340"/>
          </w:tcPr>
          <w:p>
            <w:pPr>
              <w:jc w:val="left"/>
            </w:pPr>
            <w:r/>
            <w:r>
              <w:rPr>
                <w:b w:val="0"/>
                <w:sz w:val="18"/>
              </w:rPr>
              <w:t>Chronic-specific classification</w:t>
            </w:r>
          </w:p>
        </w:tc>
        <w:tc>
          <w:tcPr>
            <w:tcW w:type="dxa" w:w="2340"/>
          </w:tcPr>
          <w:p>
            <w:pPr>
              <w:jc w:val="left"/>
            </w:pPr>
            <w:r/>
            <w:r>
              <w:rPr>
                <w:b w:val="0"/>
                <w:sz w:val="18"/>
              </w:rPr>
              <w:t>Distinguishes chronic management from acute episodes</w:t>
            </w:r>
          </w:p>
        </w:tc>
      </w:tr>
    </w:tbl>
    <w:p/>
    <w:p>
      <w:r>
        <w:rPr>
          <w:sz w:val="22"/>
        </w:rPr>
        <w:t>The most conceptually radical innovation is MG30.0, Chronic primary pain, which recognizes chronic pain as a disease in its own right — not merely a symptom of an underlying condition.</w:t>
      </w:r>
      <w:r>
        <w:rPr>
          <w:sz w:val="18"/>
          <w:vertAlign w:val="superscript"/>
        </w:rPr>
        <w:t>17</w:t>
      </w:r>
      <w:r>
        <w:rPr>
          <w:sz w:val="22"/>
        </w:rPr>
        <w:t xml:space="preserve"> This single nosological act exemplifies the Medical Sapir-Whorf Hypothesis: by creating a name for pain-without-identifiable-cause, ICD-11 transforms the clinical encounter. The patient who previously received the implicit message "we cannot find what is wrong with you" now receives "you have chronic primary pain" — a recognized, codable, treatable condition.</w:t>
      </w:r>
    </w:p>
    <w:p>
      <w:r>
        <w:rPr>
          <w:sz w:val="22"/>
        </w:rPr>
        <w:t>A WHO field test demonstrated that ICD-11 achieved 63.2% correct chronic pain diagnoses compared to 43.0% with ICD-10, with the improvement most dramatic for cases where chronic pain was regarded as a symptom of an underlying disease (63.5% vs. 26.8%).</w:t>
      </w:r>
      <w:r>
        <w:rPr>
          <w:sz w:val="18"/>
          <w:vertAlign w:val="superscript"/>
        </w:rPr>
        <w:t>18</w:t>
      </w:r>
      <w:r>
        <w:rPr>
          <w:sz w:val="22"/>
        </w:rPr>
        <w:t xml:space="preserve"> This improvement reflects not just better coding but better clinical thinking: the new categories provide cognitive scaffolding that helps clinicians perceive and classify pain presentations more accurately.</w:t>
      </w:r>
    </w:p>
    <w:p/>
    <w:p>
      <w:r>
        <w:rPr>
          <w:b/>
          <w:sz w:val="22"/>
        </w:rPr>
        <w:t>3.3 Nociplastic Pain: Naming the Previously Unnameable</w:t>
      </w:r>
    </w:p>
    <w:p>
      <w:r>
        <w:rPr>
          <w:sz w:val="22"/>
        </w:rPr>
        <w:t>The 2017 introduction of "nociplastic pain" by IASP as a third mechanistic descriptor — alongside nociceptive and neuropathic pain — provides a further illustration of therapeutic naming.</w:t>
      </w:r>
      <w:r>
        <w:rPr>
          <w:sz w:val="18"/>
          <w:vertAlign w:val="superscript"/>
        </w:rPr>
        <w:t>19</w:t>
      </w:r>
      <w:r>
        <w:rPr>
          <w:sz w:val="22"/>
        </w:rPr>
        <w:t xml:space="preserve"> Before this term existed, patients whose pain could not be attributed to either tissue damage (nociceptive) or nerve lesion (neuropathic) occupied a nosological void. Conditions such as fibromyalgia, irritable bowel syndrome, and chronic tension-type headache lacked a unified mechanistic framework.</w:t>
      </w:r>
    </w:p>
    <w:p>
      <w:r>
        <w:rPr>
          <w:sz w:val="22"/>
        </w:rPr>
        <w:t>The term "nociplastic" — referring to pain arising from altered nociception despite no clear evidence of actual or threatened tissue damage or disease of the somatosensory nervous system — fills this void.</w:t>
      </w:r>
      <w:r>
        <w:rPr>
          <w:sz w:val="18"/>
          <w:vertAlign w:val="superscript"/>
        </w:rPr>
        <w:t>19</w:t>
      </w:r>
      <w:r>
        <w:rPr>
          <w:sz w:val="22"/>
        </w:rPr>
        <w:t xml:space="preserve"> It provides clinicians with a positive diagnosis rather than a diagnosis of exclusion; it gives researchers a coherent category around which to organize investigation of central sensitization mechanisms; and it gives patients a name that validates their experience without implying psychogenic causation.</w:t>
      </w:r>
      <w:r>
        <w:rPr>
          <w:sz w:val="18"/>
          <w:vertAlign w:val="superscript"/>
        </w:rPr>
        <w:t>20</w:t>
      </w:r>
      <w:r>
        <w:rPr>
          <w:sz w:val="22"/>
        </w:rPr>
      </w:r>
    </w:p>
    <w:p>
      <w:r>
        <w:rPr>
          <w:sz w:val="22"/>
        </w:rPr>
        <w:t>The clinical impact of this naming act is already becoming apparent. A Lancet review noted that the concept of nociplastic pain has enabled a more nuanced understanding of prevalent pain conditions and has begun to reshape treatment approaches toward mechanism-based rather than disease-based therapeutics.</w:t>
      </w:r>
      <w:r>
        <w:rPr>
          <w:sz w:val="18"/>
          <w:vertAlign w:val="superscript"/>
        </w:rPr>
        <w:t>21</w:t>
      </w:r>
      <w:r>
        <w:rPr>
          <w:sz w:val="22"/>
        </w:rPr>
      </w:r>
    </w:p>
    <w:p/>
    <w:p>
      <w:r>
        <w:rPr>
          <w:b/>
          <w:sz w:val="24"/>
        </w:rPr>
        <w:t>4. EVIDENCE FOR THE THERAPEUTIC EFFECTS OF DIAGNOSTIC NAMING IN PAIN</w:t>
      </w:r>
    </w:p>
    <w:p/>
    <w:p>
      <w:r>
        <w:rPr>
          <w:b/>
          <w:sz w:val="22"/>
        </w:rPr>
        <w:t>4.1 Diagnostic Labeling and Patient Beliefs</w:t>
      </w:r>
    </w:p>
    <w:p>
      <w:r>
        <w:rPr>
          <w:sz w:val="22"/>
        </w:rPr>
        <w:t>A growing body of experimental evidence demonstrates that diagnostic labels exert measurable effects on patient beliefs and behavior. O'Keeffe et al. conducted a six-arm randomized experiment (n = 1,375) examining the effect of different labels for low back pain on patient beliefs about imaging, surgery, seriousness, and recovery.</w:t>
      </w:r>
      <w:r>
        <w:rPr>
          <w:sz w:val="18"/>
          <w:vertAlign w:val="superscript"/>
        </w:rPr>
        <w:t>22</w:t>
      </w:r>
      <w:r>
        <w:rPr>
          <w:sz w:val="22"/>
        </w:rPr>
        <w:t xml:space="preserve"> They found that pathoanatomical labels ("disc bulge," "degeneration," "arthritis") led to significantly higher perceived need for imaging and surgery, lower recovery expectations, and greater perceived seriousness compared to non-specific labels ("episode of back pain," "lumbar sprain"). These differences were amplified among patients with current pain who had a history of seeking care.</w:t>
      </w:r>
    </w:p>
    <w:p>
      <w:r>
        <w:rPr>
          <w:sz w:val="22"/>
        </w:rPr>
        <w:t>A systematic review of randomized trials on diagnostic labeling in musculoskeletal pain confirmed these findings, reporting that specific diagnostic labels may increase patient preferences for invasive care and foster more negative recovery expectations, while non-specific labels led to more positive recovery beliefs but lower patient satisfaction.</w:t>
      </w:r>
      <w:r>
        <w:rPr>
          <w:sz w:val="18"/>
          <w:vertAlign w:val="superscript"/>
        </w:rPr>
        <w:t>23</w:t>
      </w:r>
      <w:r>
        <w:rPr>
          <w:sz w:val="22"/>
        </w:rPr>
        <w:t xml:space="preserve"> This satisfaction paradox is itself evidence for the Medical Sapir-Whorf Hypothesis: patients desire specific names for their conditions even when those names carry prognostic disadvantages, suggesting that the naming function serves psychological needs beyond information transmission.</w:t>
      </w:r>
    </w:p>
    <w:p/>
    <w:p>
      <w:r>
        <w:rPr>
          <w:b/>
          <w:sz w:val="22"/>
        </w:rPr>
        <w:t>4.2 Diagnostic Uncertainty and Patient Suffering</w:t>
      </w:r>
    </w:p>
    <w:p>
      <w:r>
        <w:rPr>
          <w:sz w:val="22"/>
        </w:rPr>
        <w:t>The converse of diagnostic naming — diagnostic uncertainty — provides further evidence for the therapeutic valence of nosological categories. A grounded theory study of patients with uncertain diagnoses found that intolerance of uncertainty generated substantial psychological distress independent of physical symptoms, including heightened anxiety, reduced self-efficacy, and impaired coping.</w:t>
      </w:r>
      <w:r>
        <w:rPr>
          <w:sz w:val="18"/>
          <w:vertAlign w:val="superscript"/>
        </w:rPr>
        <w:t>24</w:t>
      </w:r>
      <w:r>
        <w:rPr>
          <w:sz w:val="22"/>
        </w:rPr>
        <w:t xml:space="preserve"> In chronic pain specifically, diagnostic uncertainty has been associated with greater functional disability, more catastrophic thinking, and increased healthcare utilization.</w:t>
      </w:r>
      <w:r>
        <w:rPr>
          <w:sz w:val="18"/>
          <w:vertAlign w:val="superscript"/>
        </w:rPr>
        <w:t>25</w:t>
      </w:r>
      <w:r>
        <w:rPr>
          <w:sz w:val="22"/>
        </w:rPr>
      </w:r>
    </w:p>
    <w:p>
      <w:r>
        <w:rPr>
          <w:sz w:val="22"/>
        </w:rPr>
        <w:t>A survey of 100 chronic pain clinic patients found that all participants valued receiving an accurate diagnosis, with 76% strongly agreeing. Diagnostic clarity was reported to improve psychological well-being, confidence in treatment, and overall satisfaction with care.</w:t>
      </w:r>
      <w:r>
        <w:rPr>
          <w:sz w:val="18"/>
          <w:vertAlign w:val="superscript"/>
        </w:rPr>
        <w:t>26</w:t>
      </w:r>
      <w:r>
        <w:rPr>
          <w:sz w:val="22"/>
        </w:rPr>
        <w:t xml:space="preserve"> These findings suggest that the act of receiving a diagnosis — being given a name for one's suffering — constitutes a therapeutic intervention in itself, separate from any specific treatment that may follow.</w:t>
      </w:r>
    </w:p>
    <w:p/>
    <w:p>
      <w:r>
        <w:rPr>
          <w:b/>
          <w:sz w:val="22"/>
        </w:rPr>
        <w:t>4.3 Clinician Behavior and the Nosological Framing Effect</w:t>
      </w:r>
    </w:p>
    <w:p>
      <w:r>
        <w:rPr>
          <w:sz w:val="22"/>
        </w:rPr>
        <w:t>The effects of disease naming extend beyond patients to clinicians themselves. The availability of a diagnostic category influences clinical decision-making through what we term the Nosological Framing Effect. When chronic pain is classified as "R52.2 Other chronic pain" (ICD-10), the implicit clinical message is that no further diagnostic refinement is possible or necessary. When the same presentation is classified as "MG30.0 Chronic primary pain" (ICD-11), the clinician receives a positive diagnostic framework with associated treatment guidelines, referral pathways, and outcome measures.</w:t>
      </w:r>
    </w:p>
    <w:p>
      <w:r>
        <w:rPr>
          <w:sz w:val="22"/>
        </w:rPr>
        <w:t>This framing effect operates at the system level as well. The introduction of specific chronic pain codes in ICD-11 has the potential to reshape referral patterns, specialist training curricula, and quality improvement metrics. When a condition can be named and coded, it can be measured; when it can be measured, it can be managed; when it can be managed, resources can be allocated to it. The nosological act creates the institutional infrastructure for care.</w:t>
      </w:r>
    </w:p>
    <w:p/>
    <w:p>
      <w:r>
        <w:rPr>
          <w:b/>
          <w:sz w:val="24"/>
        </w:rPr>
        <w:t>5. THE NOSOLOGICAL THERAPEUTIC LOOP: A FORMAL MODEL</w:t>
      </w:r>
    </w:p>
    <w:p/>
    <w:p>
      <w:r>
        <w:rPr>
          <w:sz w:val="22"/>
        </w:rPr>
        <w:t>Building on the evidence reviewed above, we propose a formal model — the Nosological Therapeutic Loop (NTL) — describing the self-reinforcing cycle through which disease naming generates therapeutic effects (Fig. 1). The NTL consists of six interconnected stages:</w:t>
      </w:r>
    </w:p>
    <w:p>
      <w:pPr>
        <w:ind w:left="720"/>
      </w:pPr>
      <w:r>
        <w:rPr>
          <w:sz w:val="22"/>
        </w:rPr>
        <w:t xml:space="preserve">Stage 1: </w:t>
      </w:r>
      <w:r>
        <w:rPr>
          <w:b/>
          <w:sz w:val="22"/>
        </w:rPr>
        <w:t xml:space="preserve">Nosological Act (N): </w:t>
      </w:r>
      <w:r>
        <w:rPr>
          <w:sz w:val="22"/>
        </w:rPr>
        <w:t>A disease category is created or refined within a classification system (e.g., ICD-11 MG30.0 Chronic primary pain).</w:t>
      </w:r>
    </w:p>
    <w:p>
      <w:pPr>
        <w:ind w:left="720"/>
      </w:pPr>
      <w:r>
        <w:rPr>
          <w:sz w:val="22"/>
        </w:rPr>
        <w:t xml:space="preserve">Stage 2: </w:t>
      </w:r>
      <w:r>
        <w:rPr>
          <w:b/>
          <w:sz w:val="22"/>
        </w:rPr>
        <w:t xml:space="preserve">Patient Validation (V): </w:t>
      </w:r>
      <w:r>
        <w:rPr>
          <w:sz w:val="22"/>
        </w:rPr>
        <w:t>Patients receive a recognized name for their condition, reducing diagnostic uncertainty and providing ontological legitimacy to their suffering.</w:t>
      </w:r>
    </w:p>
    <w:p>
      <w:pPr>
        <w:ind w:left="720"/>
      </w:pPr>
      <w:r>
        <w:rPr>
          <w:sz w:val="22"/>
        </w:rPr>
        <w:t xml:space="preserve">Stage 3: </w:t>
      </w:r>
      <w:r>
        <w:rPr>
          <w:b/>
          <w:sz w:val="22"/>
        </w:rPr>
        <w:t xml:space="preserve">Clinical Attention (A): </w:t>
      </w:r>
      <w:r>
        <w:rPr>
          <w:sz w:val="22"/>
        </w:rPr>
        <w:t>Clinicians acquire new cognitive categories that direct attention, shape differential diagnosis, and guide treatment selection.</w:t>
      </w:r>
    </w:p>
    <w:p>
      <w:pPr>
        <w:ind w:left="720"/>
      </w:pPr>
      <w:r>
        <w:rPr>
          <w:sz w:val="22"/>
        </w:rPr>
        <w:t xml:space="preserve">Stage 4: </w:t>
      </w:r>
      <w:r>
        <w:rPr>
          <w:b/>
          <w:sz w:val="22"/>
        </w:rPr>
        <w:t xml:space="preserve">Research Investment (R): </w:t>
      </w:r>
      <w:r>
        <w:rPr>
          <w:sz w:val="22"/>
        </w:rPr>
        <w:t>The named condition attracts funding, dedicated journals, specialty conferences, and clinical trials organized around the new category.</w:t>
      </w:r>
    </w:p>
    <w:p>
      <w:pPr>
        <w:ind w:left="720"/>
      </w:pPr>
      <w:r>
        <w:rPr>
          <w:sz w:val="22"/>
        </w:rPr>
        <w:t xml:space="preserve">Stage 5: </w:t>
      </w:r>
      <w:r>
        <w:rPr>
          <w:b/>
          <w:sz w:val="22"/>
        </w:rPr>
        <w:t xml:space="preserve">Treatment Development (T): </w:t>
      </w:r>
      <w:r>
        <w:rPr>
          <w:sz w:val="22"/>
        </w:rPr>
        <w:t>Research generates new therapeutic approaches specifically tailored to the named condition.</w:t>
      </w:r>
    </w:p>
    <w:p>
      <w:pPr>
        <w:ind w:left="720"/>
      </w:pPr>
      <w:r>
        <w:rPr>
          <w:sz w:val="22"/>
        </w:rPr>
        <w:t xml:space="preserve">Stage 6: </w:t>
      </w:r>
      <w:r>
        <w:rPr>
          <w:b/>
          <w:sz w:val="22"/>
        </w:rPr>
        <w:t xml:space="preserve">Nosological Refinement (N′): </w:t>
      </w:r>
      <w:r>
        <w:rPr>
          <w:sz w:val="22"/>
        </w:rPr>
        <w:t>Clinical experience and research findings prompt revision and refinement of the original category, initiating a new cycle.</w:t>
      </w:r>
    </w:p>
    <w:p/>
    <w:p>
      <w:pPr>
        <w:jc w:val="center"/>
      </w:pPr>
      <w:r>
        <w:drawing>
          <wp:inline xmlns:a="http://schemas.openxmlformats.org/drawingml/2006/main" xmlns:pic="http://schemas.openxmlformats.org/drawingml/2006/picture">
            <wp:extent cx="5029200" cy="5260121"/>
            <wp:docPr id="1" name="Picture 1"/>
            <wp:cNvGraphicFramePr>
              <a:graphicFrameLocks noChangeAspect="1"/>
            </wp:cNvGraphicFramePr>
            <a:graphic>
              <a:graphicData uri="http://schemas.openxmlformats.org/drawingml/2006/picture">
                <pic:pic>
                  <pic:nvPicPr>
                    <pic:cNvPr id="0" name="figure1_ntl_en.png"/>
                    <pic:cNvPicPr/>
                  </pic:nvPicPr>
                  <pic:blipFill>
                    <a:blip r:embed="rId9"/>
                    <a:stretch>
                      <a:fillRect/>
                    </a:stretch>
                  </pic:blipFill>
                  <pic:spPr>
                    <a:xfrm>
                      <a:off x="0" y="0"/>
                      <a:ext cx="5029200" cy="5260121"/>
                    </a:xfrm>
                    <a:prstGeom prst="rect"/>
                  </pic:spPr>
                </pic:pic>
              </a:graphicData>
            </a:graphic>
          </wp:inline>
        </w:drawing>
      </w:r>
    </w:p>
    <w:p>
      <w:r>
        <w:rPr>
          <w:b/>
          <w:sz w:val="20"/>
        </w:rPr>
        <w:t xml:space="preserve">Figure 1. </w:t>
      </w:r>
      <w:r>
        <w:rPr>
          <w:sz w:val="20"/>
        </w:rPr>
        <w:t>The Nosological Therapeutic Loop (NTL). Disease naming (N) triggers a self-reinforcing cycle through patient validation (V), clinical attention (A), research investment (R), treatment development (T), and nosological refinement (N′). Each stage feeds into the next, creating a positive feedback loop. The red circle indicates the critical boundary condition: if the loop operates without empirical grounding in patient outcomes, it risks degenerating into disease mongering.</w:t>
      </w:r>
    </w:p>
    <w:p/>
    <w:p>
      <w:r>
        <w:rPr>
          <w:sz w:val="22"/>
        </w:rPr>
        <w:t>The NTL model is explicitly analogous to Hacking's looping effects but extends it in two important ways. First, it identifies the therapeutic valence of the loop: the cycle is not merely descriptive (categories shape the classified) but normatively beneficial (the shaping improves patient outcomes). Second, it specifies the institutional mechanisms (funding, training, coding) through which the loop operates, moving beyond the individual-level focus of Hacking's original formulation.</w:t>
      </w:r>
      <w:r>
        <w:rPr>
          <w:sz w:val="18"/>
          <w:vertAlign w:val="superscript"/>
        </w:rPr>
        <w:t>10</w:t>
      </w:r>
      <w:r>
        <w:rPr>
          <w:sz w:val="22"/>
        </w:rPr>
      </w:r>
    </w:p>
    <w:p>
      <w:r>
        <w:rPr>
          <w:sz w:val="22"/>
        </w:rPr>
        <w:t>The NTL can be expressed semi-formally. Let D denote a disease category, P the patient population, C the clinical community, and O patient outcomes. The Medical Sapir-Whorf Hypothesis predicts that ∂O/∂D &gt; 0 when D appropriately captures a genuine pattern of suffering — that is, the introduction of a well-founded disease category improves patient outcomes through the mechanisms described above, holding treatment technology constant.</w:t>
      </w:r>
    </w:p>
    <w:p/>
    <w:p>
      <w:r>
        <w:rPr>
          <w:b/>
          <w:sz w:val="24"/>
        </w:rPr>
        <w:t>6. BOUNDARY CONDITIONS: DISTINGUISHING THERAPEUTIC NAMING FROM DISEASE MONGERING</w:t>
      </w:r>
    </w:p>
    <w:p/>
    <w:p>
      <w:r>
        <w:rPr>
          <w:sz w:val="22"/>
        </w:rPr>
        <w:t>The Medical Sapir-Whorf Hypothesis raises an obvious concern: if naming diseases is therapeutic, does this not justify unlimited nosological expansion? The concept of "disease mongering" — the widening of disease boundaries to grow markets for those who sell treatments — represents a well-documented pathology of nosological excess.</w:t>
      </w:r>
      <w:r>
        <w:rPr>
          <w:sz w:val="18"/>
          <w:vertAlign w:val="superscript"/>
        </w:rPr>
        <w:t>27</w:t>
      </w:r>
      <w:r>
        <w:rPr>
          <w:sz w:val="22"/>
        </w:rPr>
        <w:t xml:space="preserve"> The pharmaceutical industry's promotion of conditions such as "social anxiety disorder" and "female sexual dysfunction" has been criticized as creating diseases to match available drugs rather than developing drugs to match genuine diseases.</w:t>
      </w:r>
      <w:r>
        <w:rPr>
          <w:sz w:val="18"/>
          <w:vertAlign w:val="superscript"/>
        </w:rPr>
        <w:t>28</w:t>
      </w:r>
      <w:r>
        <w:rPr>
          <w:sz w:val="22"/>
        </w:rPr>
      </w:r>
    </w:p>
    <w:p>
      <w:r>
        <w:rPr>
          <w:sz w:val="22"/>
        </w:rPr>
        <w:t>We argue that the distinction between therapeutic naming and disease mongering can be drawn along three dimensions (Table 2):</w:t>
      </w:r>
    </w:p>
    <w:p/>
    <w:p>
      <w:r>
        <w:rPr>
          <w:b/>
          <w:sz w:val="20"/>
        </w:rPr>
        <w:t xml:space="preserve">Table 2. </w:t>
      </w:r>
      <w:r>
        <w:rPr>
          <w:sz w:val="20"/>
        </w:rPr>
        <w:t>Distinguishing therapeutic naming from disease mongering</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left"/>
            </w:pPr>
            <w:r/>
            <w:r>
              <w:rPr>
                <w:b/>
                <w:sz w:val="18"/>
              </w:rPr>
              <w:t>Dimension</w:t>
            </w:r>
          </w:p>
        </w:tc>
        <w:tc>
          <w:tcPr>
            <w:tcW w:type="dxa" w:w="3120"/>
          </w:tcPr>
          <w:p>
            <w:pPr>
              <w:jc w:val="left"/>
            </w:pPr>
            <w:r/>
            <w:r>
              <w:rPr>
                <w:b/>
                <w:sz w:val="18"/>
              </w:rPr>
              <w:t>Therapeutic Naming</w:t>
            </w:r>
          </w:p>
        </w:tc>
        <w:tc>
          <w:tcPr>
            <w:tcW w:type="dxa" w:w="3120"/>
          </w:tcPr>
          <w:p>
            <w:pPr>
              <w:jc w:val="left"/>
            </w:pPr>
            <w:r/>
            <w:r>
              <w:rPr>
                <w:b/>
                <w:sz w:val="18"/>
              </w:rPr>
              <w:t>Disease Mongering</w:t>
            </w:r>
          </w:p>
        </w:tc>
      </w:tr>
      <w:tr>
        <w:tc>
          <w:tcPr>
            <w:tcW w:type="dxa" w:w="3120"/>
          </w:tcPr>
          <w:p>
            <w:pPr>
              <w:jc w:val="left"/>
            </w:pPr>
            <w:r/>
            <w:r>
              <w:rPr>
                <w:b w:val="0"/>
                <w:sz w:val="18"/>
              </w:rPr>
              <w:t>Origin</w:t>
            </w:r>
          </w:p>
        </w:tc>
        <w:tc>
          <w:tcPr>
            <w:tcW w:type="dxa" w:w="3120"/>
          </w:tcPr>
          <w:p>
            <w:pPr>
              <w:jc w:val="left"/>
            </w:pPr>
            <w:r/>
            <w:r>
              <w:rPr>
                <w:b w:val="0"/>
                <w:sz w:val="18"/>
              </w:rPr>
              <w:t>Driven by clinical need and patient suffering; developed through consensus of clinical experts and patient advocates</w:t>
            </w:r>
          </w:p>
        </w:tc>
        <w:tc>
          <w:tcPr>
            <w:tcW w:type="dxa" w:w="3120"/>
          </w:tcPr>
          <w:p>
            <w:pPr>
              <w:jc w:val="left"/>
            </w:pPr>
            <w:r/>
            <w:r>
              <w:rPr>
                <w:b w:val="0"/>
                <w:sz w:val="18"/>
              </w:rPr>
              <w:t>Driven by commercial interest; developed through pharmaceutical marketing and sponsored disease awareness campaigns</w:t>
            </w:r>
          </w:p>
        </w:tc>
      </w:tr>
      <w:tr>
        <w:tc>
          <w:tcPr>
            <w:tcW w:type="dxa" w:w="3120"/>
          </w:tcPr>
          <w:p>
            <w:pPr>
              <w:jc w:val="left"/>
            </w:pPr>
            <w:r/>
            <w:r>
              <w:rPr>
                <w:b w:val="0"/>
                <w:sz w:val="18"/>
              </w:rPr>
              <w:t>Evidence base</w:t>
            </w:r>
          </w:p>
        </w:tc>
        <w:tc>
          <w:tcPr>
            <w:tcW w:type="dxa" w:w="3120"/>
          </w:tcPr>
          <w:p>
            <w:pPr>
              <w:jc w:val="left"/>
            </w:pPr>
            <w:r/>
            <w:r>
              <w:rPr>
                <w:b w:val="0"/>
                <w:sz w:val="18"/>
              </w:rPr>
              <w:t>Grounded in empirical observation of distinct symptom patterns, mechanisms, or treatment responses; validated through field testing</w:t>
            </w:r>
          </w:p>
        </w:tc>
        <w:tc>
          <w:tcPr>
            <w:tcW w:type="dxa" w:w="3120"/>
          </w:tcPr>
          <w:p>
            <w:pPr>
              <w:jc w:val="left"/>
            </w:pPr>
            <w:r/>
            <w:r>
              <w:rPr>
                <w:b w:val="0"/>
                <w:sz w:val="18"/>
              </w:rPr>
              <w:t>Based on medicalization of normal variation or redefinition of risk factors as diseases; limited independent validation</w:t>
            </w:r>
          </w:p>
        </w:tc>
      </w:tr>
      <w:tr>
        <w:tc>
          <w:tcPr>
            <w:tcW w:type="dxa" w:w="3120"/>
          </w:tcPr>
          <w:p>
            <w:pPr>
              <w:jc w:val="left"/>
            </w:pPr>
            <w:r/>
            <w:r>
              <w:rPr>
                <w:b w:val="0"/>
                <w:sz w:val="18"/>
              </w:rPr>
              <w:t>Outcome trajectory</w:t>
            </w:r>
          </w:p>
        </w:tc>
        <w:tc>
          <w:tcPr>
            <w:tcW w:type="dxa" w:w="3120"/>
          </w:tcPr>
          <w:p>
            <w:pPr>
              <w:jc w:val="left"/>
            </w:pPr>
            <w:r/>
            <w:r>
              <w:rPr>
                <w:b w:val="0"/>
                <w:sz w:val="18"/>
              </w:rPr>
              <w:t>Leads to improved patient outcomes, better resource allocation, and refined understanding over time (NTL positive cycle)</w:t>
            </w:r>
          </w:p>
        </w:tc>
        <w:tc>
          <w:tcPr>
            <w:tcW w:type="dxa" w:w="3120"/>
          </w:tcPr>
          <w:p>
            <w:pPr>
              <w:jc w:val="left"/>
            </w:pPr>
            <w:r/>
            <w:r>
              <w:rPr>
                <w:b w:val="0"/>
                <w:sz w:val="18"/>
              </w:rPr>
              <w:t>Leads to overdiagnosis, unnecessary treatment, iatrogenic harm, and resource misallocation</w:t>
            </w:r>
          </w:p>
        </w:tc>
      </w:tr>
    </w:tbl>
    <w:p/>
    <w:p>
      <w:r>
        <w:rPr>
          <w:sz w:val="22"/>
        </w:rPr>
        <w:t>The ICD-11 chronic pain classification exemplifies therapeutic naming by all three criteria: it was developed by an international clinical expert task force in response to documented clinical need,</w:t>
      </w:r>
      <w:r>
        <w:rPr>
          <w:sz w:val="18"/>
          <w:vertAlign w:val="superscript"/>
        </w:rPr>
        <w:t>17</w:t>
      </w:r>
      <w:r>
        <w:rPr>
          <w:sz w:val="22"/>
        </w:rPr>
        <w:t xml:space="preserve"> it was validated through WHO field testing,</w:t>
      </w:r>
      <w:r>
        <w:rPr>
          <w:sz w:val="18"/>
          <w:vertAlign w:val="superscript"/>
        </w:rPr>
        <w:t>18</w:t>
      </w:r>
      <w:r>
        <w:rPr>
          <w:sz w:val="22"/>
        </w:rPr>
        <w:t xml:space="preserve"> and early evidence suggests improved diagnostic accuracy and clinical utility.</w:t>
      </w:r>
      <w:r>
        <w:rPr>
          <w:sz w:val="18"/>
          <w:vertAlign w:val="superscript"/>
        </w:rPr>
        <w:t>16</w:t>
      </w:r>
      <w:r>
        <w:rPr>
          <w:sz w:val="22"/>
        </w:rPr>
        <w:t xml:space="preserve"> The contrast with disease mongering is not merely one of degree but of kind: therapeutic naming responds to existing suffering, while disease mongering creates anxiety about previously unproblematic states.</w:t>
      </w:r>
    </w:p>
    <w:p>
      <w:r>
        <w:rPr>
          <w:sz w:val="22"/>
        </w:rPr>
        <w:t>A further boundary condition is provided by Kleinman's observation that certain disease experiences persist independently of their cultural naming.</w:t>
      </w:r>
      <w:r>
        <w:rPr>
          <w:sz w:val="18"/>
          <w:vertAlign w:val="superscript"/>
        </w:rPr>
        <w:t>12</w:t>
      </w:r>
      <w:r>
        <w:rPr>
          <w:sz w:val="22"/>
        </w:rPr>
        <w:t xml:space="preserve"> Anorexia nervosa existed in eras when thinness was not valued; chronic pain persists regardless of whether it is named. The Medical Sapir-Whorf Hypothesis does not claim that naming creates disease — it claims that naming shapes the clinical response to disease. This distinction is crucial: it means that nosological expansion is therapeutic only when it names something that already exists as a pattern of suffering, not when it pathologizes normal variation.</w:t>
      </w:r>
    </w:p>
    <w:p/>
    <w:p>
      <w:r>
        <w:rPr>
          <w:b/>
          <w:sz w:val="24"/>
        </w:rPr>
        <w:t>7. PROPOSED RESEARCH AGENDA</w:t>
      </w:r>
    </w:p>
    <w:p/>
    <w:p>
      <w:r>
        <w:rPr>
          <w:sz w:val="22"/>
        </w:rPr>
        <w:t>The transition from ICD-10 to ICD-11 constitutes a natural experiment in therapeutic naming that can be leveraged to empirically test the Medical Sapir-Whorf Hypothesis. We propose the following research agenda:</w:t>
      </w:r>
    </w:p>
    <w:p>
      <w:pPr>
        <w:ind w:left="720"/>
      </w:pPr>
      <w:r>
        <w:rPr>
          <w:sz w:val="22"/>
        </w:rPr>
        <w:t xml:space="preserve">(1) </w:t>
      </w:r>
      <w:r>
        <w:rPr>
          <w:b/>
          <w:sz w:val="22"/>
        </w:rPr>
        <w:t xml:space="preserve">Before-after diagnostic pattern analysis: </w:t>
      </w:r>
      <w:r>
        <w:rPr>
          <w:sz w:val="22"/>
        </w:rPr>
        <w:t>Using administrative claims data from healthcare systems that have adopted ICD-11, compare chronic pain diagnostic patterns before and after the transition. Primary outcomes: distribution of chronic pain diagnoses, proportion of patients receiving specific (vs. non-specific) pain diagnoses, and changes in referral patterns to pain specialists.</w:t>
      </w:r>
    </w:p>
    <w:p>
      <w:pPr>
        <w:ind w:left="720"/>
      </w:pPr>
      <w:r>
        <w:rPr>
          <w:sz w:val="22"/>
        </w:rPr>
        <w:t xml:space="preserve">(2) </w:t>
      </w:r>
      <w:r>
        <w:rPr>
          <w:b/>
          <w:sz w:val="22"/>
        </w:rPr>
        <w:t xml:space="preserve">Patient-reported outcome study: </w:t>
      </w:r>
      <w:r>
        <w:rPr>
          <w:sz w:val="22"/>
        </w:rPr>
        <w:t>Prospective cohort study comparing patient satisfaction, perceived diagnostic certainty, treatment adherence, and self-reported pain outcomes between patients diagnosed using ICD-10 vs. ICD-11 categories for equivalent clinical presentations.</w:t>
      </w:r>
    </w:p>
    <w:p>
      <w:pPr>
        <w:ind w:left="720"/>
      </w:pPr>
      <w:r>
        <w:rPr>
          <w:sz w:val="22"/>
        </w:rPr>
        <w:t xml:space="preserve">(3) </w:t>
      </w:r>
      <w:r>
        <w:rPr>
          <w:b/>
          <w:sz w:val="22"/>
        </w:rPr>
        <w:t xml:space="preserve">Clinician cognition experiment: </w:t>
      </w:r>
      <w:r>
        <w:rPr>
          <w:sz w:val="22"/>
        </w:rPr>
        <w:t>Randomized vignette-based study presenting identical pain presentations to clinicians with and without training in ICD-11 chronic pain categories. Primary outcomes: diagnostic accuracy, treatment plan quality, and clinical reasoning patterns assessed via think-aloud protocol.</w:t>
      </w:r>
    </w:p>
    <w:p>
      <w:pPr>
        <w:ind w:left="720"/>
      </w:pPr>
      <w:r>
        <w:rPr>
          <w:sz w:val="22"/>
        </w:rPr>
        <w:t xml:space="preserve">(4) </w:t>
      </w:r>
      <w:r>
        <w:rPr>
          <w:b/>
          <w:sz w:val="22"/>
        </w:rPr>
        <w:t xml:space="preserve">Research funding analysis: </w:t>
      </w:r>
      <w:r>
        <w:rPr>
          <w:sz w:val="22"/>
        </w:rPr>
        <w:t>Bibliometric analysis of chronic pain research publications and funding allocations before and after ICD-11 adoption, stratified by the new MG30 subcategories. Test prediction: categories that received new or refined ICD-11 codes will show disproportionate growth in research activity.</w:t>
      </w:r>
    </w:p>
    <w:p>
      <w:pPr>
        <w:ind w:left="720"/>
      </w:pPr>
      <w:r>
        <w:rPr>
          <w:sz w:val="22"/>
        </w:rPr>
        <w:t xml:space="preserve">(5) </w:t>
      </w:r>
      <w:r>
        <w:rPr>
          <w:b/>
          <w:sz w:val="22"/>
        </w:rPr>
        <w:t xml:space="preserve">Cross-national comparison: </w:t>
      </w:r>
      <w:r>
        <w:rPr>
          <w:sz w:val="22"/>
        </w:rPr>
        <w:t>Exploit staggered ICD-11 adoption across countries to implement a difference-in-differences design comparing chronic pain outcomes in early vs. late adopter nations.</w:t>
      </w:r>
    </w:p>
    <w:p/>
    <w:p>
      <w:r>
        <w:rPr>
          <w:b/>
          <w:sz w:val="24"/>
        </w:rPr>
        <w:t>8. CONCLUSION</w:t>
      </w:r>
    </w:p>
    <w:p/>
    <w:p>
      <w:r>
        <w:rPr>
          <w:sz w:val="22"/>
        </w:rPr>
        <w:t>The Sapir-Whorf hypothesis teaches that language is not a passive mirror of reality but an active participant in its construction. The Medical Sapir-Whorf Hypothesis extends this insight to clinical medicine: nosological categories are not mere labels but cognitive-institutional tools that shape perception, direct attention, allocate resources, and ultimately influence patient outcomes.</w:t>
      </w:r>
    </w:p>
    <w:p>
      <w:r>
        <w:rPr>
          <w:sz w:val="22"/>
        </w:rPr>
        <w:t>Pain medicine provides the most compelling domain for this thesis. The historical under-classification of chronic pain in ICD-10 was not merely an administrative inconvenience — it was a structural cause of suffering, rendering millions of patients invisible to the healthcare systems ostensibly designed to help them. The ICD-11 chronic pain classification, the concept of nociplastic pain, and the recognition of chronic primary pain as a disease entity collectively represent acts of therapeutic naming: they do not merely describe clinical reality but actively improve it.</w:t>
      </w:r>
    </w:p>
    <w:p>
      <w:r>
        <w:rPr>
          <w:sz w:val="22"/>
        </w:rPr>
        <w:t>The Nosological Therapeutic Loop provides a formal framework for understanding how naming generates therapeutic effects and for identifying the boundary conditions that separate therapeutic naming from disease mongering. The critical distinction is not between naming and not naming, but between naming that responds to genuine patterns of suffering (grounded in clinical evidence and developed through expert consensus) and naming that creates artificial disease categories to serve commercial interests.</w:t>
      </w:r>
    </w:p>
    <w:p>
      <w:r>
        <w:rPr>
          <w:sz w:val="22"/>
        </w:rPr>
        <w:t>If the Medical Sapir-Whorf Hypothesis is correct, then the deliberate, evidence-based expansion of nosological categories in pain medicine is not merely a bureaucratic exercise in classification — it is a therapeutic intervention. The implication is both practical and profound: in pain medicine, increasing the precision and richness of disease names may be one of the most cost-effective therapeutic strategies available.</w:t>
      </w:r>
    </w:p>
    <w:p/>
    <w:p>
      <w:r>
        <w:rPr>
          <w:b/>
          <w:sz w:val="24"/>
        </w:rPr>
        <w:t>CONFLICT OF INTEREST</w:t>
      </w:r>
    </w:p>
    <w:p/>
    <w:p>
      <w:r>
        <w:rPr>
          <w:sz w:val="22"/>
        </w:rPr>
        <w:t>The authors declare no conflicts of interest.</w:t>
      </w:r>
    </w:p>
    <w:p/>
    <w:p>
      <w:r>
        <w:rPr>
          <w:b/>
          <w:sz w:val="24"/>
        </w:rPr>
        <w:t>FUNDING</w:t>
      </w:r>
    </w:p>
    <w:p/>
    <w:p>
      <w:r>
        <w:rPr>
          <w:sz w:val="22"/>
        </w:rPr>
        <w:t>[Funding information to be added]</w:t>
      </w:r>
    </w:p>
    <w:p/>
    <w:p>
      <w:r>
        <w:rPr>
          <w:b/>
          <w:sz w:val="24"/>
        </w:rPr>
        <w:t>REFERENCES</w:t>
      </w:r>
    </w:p>
    <w:p/>
    <w:p>
      <w:r>
        <w:rPr>
          <w:sz w:val="20"/>
        </w:rPr>
        <w:t xml:space="preserve">1. </w:t>
      </w:r>
      <w:r>
        <w:rPr>
          <w:sz w:val="20"/>
        </w:rPr>
        <w:t>Sapir E. The status of linguistics as a science. Language. 1929;5(4):207-214.</w:t>
      </w:r>
    </w:p>
    <w:p>
      <w:r>
        <w:rPr>
          <w:sz w:val="20"/>
        </w:rPr>
        <w:t xml:space="preserve">2. </w:t>
      </w:r>
      <w:r>
        <w:rPr>
          <w:sz w:val="20"/>
        </w:rPr>
        <w:t>Whorf BL. Language, Thought, and Reality: Selected Writings. Cambridge, MA: MIT Press; 1956.</w:t>
      </w:r>
    </w:p>
    <w:p>
      <w:r>
        <w:rPr>
          <w:sz w:val="20"/>
        </w:rPr>
        <w:t xml:space="preserve">3. </w:t>
      </w:r>
      <w:r>
        <w:rPr>
          <w:sz w:val="20"/>
        </w:rPr>
        <w:t>Winawer J, Witthoft N, Frank MC, Wu L, Wade AR, Boroditsky L. Russian blues reveal effects of language on color discrimination. Proc Natl Acad Sci U S A. 2007;104(19):7780-7785.</w:t>
      </w:r>
    </w:p>
    <w:p>
      <w:r>
        <w:rPr>
          <w:sz w:val="20"/>
        </w:rPr>
        <w:t xml:space="preserve">4. </w:t>
      </w:r>
      <w:r>
        <w:rPr>
          <w:sz w:val="20"/>
        </w:rPr>
        <w:t>Levinson SC. Frames of reference and Molyneux's question: cross-linguistic evidence. In: Bloom P, Peterson MA, Nadel L, Garrett MF, eds. Language and Space. Cambridge, MA: MIT Press; 1996:109-169.</w:t>
      </w:r>
    </w:p>
    <w:p>
      <w:r>
        <w:rPr>
          <w:sz w:val="20"/>
        </w:rPr>
        <w:t xml:space="preserve">5. </w:t>
      </w:r>
      <w:r>
        <w:rPr>
          <w:sz w:val="20"/>
        </w:rPr>
        <w:t>Kosek E, Cohen M, Baron R, et al. Do we need a third mechanistic descriptor for chronic pain states? Pain. 2016;157(7):1382-1386.</w:t>
      </w:r>
    </w:p>
    <w:p>
      <w:r>
        <w:rPr>
          <w:sz w:val="20"/>
        </w:rPr>
        <w:t xml:space="preserve">6. </w:t>
      </w:r>
      <w:r>
        <w:rPr>
          <w:sz w:val="20"/>
        </w:rPr>
        <w:t>Jutel A. Putting a Name to It: Diagnosis in Contemporary Society. Baltimore: Johns Hopkins University Press; 2011.</w:t>
      </w:r>
    </w:p>
    <w:p>
      <w:r>
        <w:rPr>
          <w:sz w:val="20"/>
        </w:rPr>
        <w:t xml:space="preserve">7. </w:t>
      </w:r>
      <w:r>
        <w:rPr>
          <w:sz w:val="20"/>
        </w:rPr>
        <w:t>Bontempo AC. Does labeling a patient with fibromyalgia alter health care utilization? A retrospective, matched-cohort study. J Gen Intern Med. 2021;36(5):1352-1358.</w:t>
      </w:r>
    </w:p>
    <w:p>
      <w:r>
        <w:rPr>
          <w:sz w:val="20"/>
        </w:rPr>
        <w:t xml:space="preserve">8. </w:t>
      </w:r>
      <w:r>
        <w:rPr>
          <w:sz w:val="20"/>
        </w:rPr>
        <w:t>Kaplan RM. Disease, Diagnoses, and Dollars: Facing the Ever-Expanding Market for Medical Care. New York: Copernicus Books; 2009.</w:t>
      </w:r>
    </w:p>
    <w:p>
      <w:r>
        <w:rPr>
          <w:sz w:val="20"/>
        </w:rPr>
        <w:t xml:space="preserve">9. </w:t>
      </w:r>
      <w:r>
        <w:rPr>
          <w:sz w:val="20"/>
        </w:rPr>
        <w:t>World Health Organization. International Classification of Diseases 11th Revision: The Global Standard for Diagnostic Health Information. Geneva: WHO; 2019.</w:t>
      </w:r>
    </w:p>
    <w:p>
      <w:r>
        <w:rPr>
          <w:sz w:val="20"/>
        </w:rPr>
        <w:t xml:space="preserve">10. </w:t>
      </w:r>
      <w:r>
        <w:rPr>
          <w:sz w:val="20"/>
        </w:rPr>
        <w:t>Hacking I. The looping effects of human kinds. In: Sperber D, Premack D, Premack AJ, eds. Causal Cognition: A Multidisciplinary Debate. Oxford: Clarendon Press; 1995:351-394.</w:t>
      </w:r>
    </w:p>
    <w:p>
      <w:r>
        <w:rPr>
          <w:sz w:val="20"/>
        </w:rPr>
        <w:t xml:space="preserve">11. </w:t>
      </w:r>
      <w:r>
        <w:rPr>
          <w:sz w:val="20"/>
        </w:rPr>
        <w:t>Tsou JY. Hacking on the looping effects of psychiatric classifications: what is an interactive and indifferent kind? Int Stud Philos Sci. 2007;21(3):329-344.</w:t>
      </w:r>
    </w:p>
    <w:p>
      <w:r>
        <w:rPr>
          <w:sz w:val="20"/>
        </w:rPr>
        <w:t xml:space="preserve">12. </w:t>
      </w:r>
      <w:r>
        <w:rPr>
          <w:sz w:val="20"/>
        </w:rPr>
        <w:t>Kleinman A. The Illness Narratives: Suffering, Healing, and the Human Condition. New York: Basic Books; 1988.</w:t>
      </w:r>
    </w:p>
    <w:p>
      <w:r>
        <w:rPr>
          <w:sz w:val="20"/>
        </w:rPr>
        <w:t xml:space="preserve">13. </w:t>
      </w:r>
      <w:r>
        <w:rPr>
          <w:sz w:val="20"/>
        </w:rPr>
        <w:t>Breivik H, Collett B, Ventafridda V, Cohen R, Gallacher D. Survey of chronic pain in Europe: prevalence, impact on daily life, and treatment. Eur J Pain. 2006;10(4):287-333.</w:t>
      </w:r>
    </w:p>
    <w:p>
      <w:r>
        <w:rPr>
          <w:sz w:val="20"/>
        </w:rPr>
        <w:t xml:space="preserve">14. </w:t>
      </w:r>
      <w:r>
        <w:rPr>
          <w:sz w:val="20"/>
        </w:rPr>
        <w:t>GBD 2021 Diseases and Injuries Collaborators. Global incidence, prevalence, and years lived with disability for 354 diseases and injuries. Lancet. 2024;403(10440):2162-2199.</w:t>
      </w:r>
    </w:p>
    <w:p>
      <w:r>
        <w:rPr>
          <w:sz w:val="20"/>
        </w:rPr>
        <w:t xml:space="preserve">15. </w:t>
      </w:r>
      <w:r>
        <w:rPr>
          <w:sz w:val="20"/>
        </w:rPr>
        <w:t>Rief W, Kaasa S, Jensen R, et al. The need to revise pain diagnoses in ICD-10. Pain. 2010;149(2):169-170.</w:t>
      </w:r>
    </w:p>
    <w:p>
      <w:r>
        <w:rPr>
          <w:sz w:val="20"/>
        </w:rPr>
        <w:t xml:space="preserve">16. </w:t>
      </w:r>
      <w:r>
        <w:rPr>
          <w:sz w:val="20"/>
        </w:rPr>
        <w:t>Nugraha B, Gutenbrunner C, Barke A, et al. The IASP classification of chronic pain for ICD-11: functioning properties of chronic pain. Pain. 2019;160(1):88-94.</w:t>
      </w:r>
    </w:p>
    <w:p>
      <w:r>
        <w:rPr>
          <w:sz w:val="20"/>
        </w:rPr>
        <w:t xml:space="preserve">17. </w:t>
      </w:r>
      <w:r>
        <w:rPr>
          <w:sz w:val="20"/>
        </w:rPr>
        <w:t>Treede RD, Rief W, Barke A, et al. Chronic pain as a symptom or a disease: the IASP Classification of Chronic Pain for the International Classification of Diseases (ICD-11). Pain. 2019;160(1):19-27.</w:t>
      </w:r>
    </w:p>
    <w:p>
      <w:r>
        <w:rPr>
          <w:sz w:val="20"/>
        </w:rPr>
        <w:t xml:space="preserve">18. </w:t>
      </w:r>
      <w:r>
        <w:rPr>
          <w:sz w:val="20"/>
        </w:rPr>
        <w:t>Barke A, Korwisi B, Jakob R, Konstanjsek N, Rief W, Treede RD. Classification of chronic pain for the International Classification of Diseases (ICD-11): results of the 2017 international WHO field testing. Pain. 2022;163(2):e285-e292.</w:t>
      </w:r>
    </w:p>
    <w:p>
      <w:r>
        <w:rPr>
          <w:sz w:val="20"/>
        </w:rPr>
        <w:t xml:space="preserve">19. </w:t>
      </w:r>
      <w:r>
        <w:rPr>
          <w:sz w:val="20"/>
        </w:rPr>
        <w:t>Kosek E, Clauw D, Nijs J, et al. Chronic nociplastic pain affecting the musculoskeletal system: clinical criteria and grading system. Pain. 2021;162(11):2629-2634.</w:t>
      </w:r>
    </w:p>
    <w:p>
      <w:r>
        <w:rPr>
          <w:sz w:val="20"/>
        </w:rPr>
        <w:t xml:space="preserve">20. </w:t>
      </w:r>
      <w:r>
        <w:rPr>
          <w:sz w:val="20"/>
        </w:rPr>
        <w:t>Nijs J, Malfliet A, Nishigami T. Nociplastic pain and central sensitization in patients with chronic pain conditions: a terminology update for clinicians. Braz J Phys Ther. 2023;27(3):100518.</w:t>
      </w:r>
    </w:p>
    <w:p>
      <w:r>
        <w:rPr>
          <w:sz w:val="20"/>
        </w:rPr>
        <w:t xml:space="preserve">21. </w:t>
      </w:r>
      <w:r>
        <w:rPr>
          <w:sz w:val="20"/>
        </w:rPr>
        <w:t>Fitzcharles MA, Cohen SP, Clauw DJ, Littlejohn G, Usui C, Häuser W. Nociplastic pain: towards an understanding of prevalent pain conditions. Lancet. 2021;397(10289):2098-2110.</w:t>
      </w:r>
    </w:p>
    <w:p>
      <w:r>
        <w:rPr>
          <w:sz w:val="20"/>
        </w:rPr>
        <w:t xml:space="preserve">22. </w:t>
      </w:r>
      <w:r>
        <w:rPr>
          <w:sz w:val="20"/>
        </w:rPr>
        <w:t>O'Keeffe M, Ferreira GE, Harris IA, et al. Effect of diagnostic labelling on management intentions for non-specific low back pain: a randomized scenario-based experiment. Eur J Pain. 2022;26(7):1532-1545.</w:t>
      </w:r>
    </w:p>
    <w:p>
      <w:r>
        <w:rPr>
          <w:sz w:val="20"/>
        </w:rPr>
        <w:t xml:space="preserve">23. </w:t>
      </w:r>
      <w:r>
        <w:rPr>
          <w:sz w:val="20"/>
        </w:rPr>
        <w:t>Zadro JR, Ferreira GE, O'Keeffe M, et al. The effect of diagnostic labels on treatment preferences and beliefs in people with musculoskeletal pain: a systematic review of randomized trials. Arch Phys Med Rehabil. 2025 (in press).</w:t>
      </w:r>
    </w:p>
    <w:p>
      <w:r>
        <w:rPr>
          <w:sz w:val="20"/>
        </w:rPr>
        <w:t xml:space="preserve">24. </w:t>
      </w:r>
      <w:r>
        <w:rPr>
          <w:sz w:val="20"/>
        </w:rPr>
        <w:t>Sari DM, Samuels K, Engel L, et al. How patients with an uncertain diagnosis experience intolerance of uncertainty: a grounded theory study. Psychol Res Behav Manag. 2021;14:1269-1281.</w:t>
      </w:r>
    </w:p>
    <w:p>
      <w:r>
        <w:rPr>
          <w:sz w:val="20"/>
        </w:rPr>
        <w:t xml:space="preserve">25. </w:t>
      </w:r>
      <w:r>
        <w:rPr>
          <w:sz w:val="20"/>
        </w:rPr>
        <w:t>Tanna V, Heathcote LC, Heirich MS, et al. Something else going on? Diagnostic uncertainty in children with chronic pain and their parents. Children. 2020;7(10):165.</w:t>
      </w:r>
    </w:p>
    <w:p>
      <w:r>
        <w:rPr>
          <w:sz w:val="20"/>
        </w:rPr>
        <w:t xml:space="preserve">26. </w:t>
      </w:r>
      <w:r>
        <w:rPr>
          <w:sz w:val="20"/>
        </w:rPr>
        <w:t>O'Sullivan E, Shanahan E, Costelloe L, et al. Importance of diagnosis in chronic pain: patient's perspective. Pain Stud Treat. 2026;14(1):1-12.</w:t>
      </w:r>
    </w:p>
    <w:p>
      <w:r>
        <w:rPr>
          <w:sz w:val="20"/>
        </w:rPr>
        <w:t xml:space="preserve">27. </w:t>
      </w:r>
      <w:r>
        <w:rPr>
          <w:sz w:val="20"/>
        </w:rPr>
        <w:t>Moynihan R, Heath I, Henry D. Selling sickness: the pharmaceutical industry and disease mongering. BMJ. 2002;324(7342):886-891.</w:t>
      </w:r>
    </w:p>
    <w:p>
      <w:r>
        <w:rPr>
          <w:sz w:val="20"/>
        </w:rPr>
        <w:t xml:space="preserve">28. </w:t>
      </w:r>
      <w:r>
        <w:rPr>
          <w:sz w:val="20"/>
        </w:rPr>
        <w:t>Moynihan R, Cassels A. Selling Sickness: How the World's Biggest Pharmaceutical Companies Are Turning Us All into Patients. New York: Nation Books; 2005.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