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Data sources and scenario parameters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b/>
                <w:sz w:val="20"/>
              </w:rPr>
              <w:t>Base-case value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b/>
                <w:sz w:val="20"/>
              </w:rPr>
              <w:t>Source / assumption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Screened population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100,000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Hypothetical single screening wave of adults aged 20+ years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Test sensitivity (all cancers)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0.70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Systematic review of blood-based MCED tests;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</w:rPr>
              <w:t xml:space="preserve"> scenario value within reported range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Test specificity (all cancers)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0.990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Systematic review of blood-based MCED tests;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</w:rPr>
              <w:t xml:space="preserve"> scenario value within reported range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Follow-up rate after a positive result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50% (varied 0-100%)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Scenario assumption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CT capacity per 100,000 per year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5,676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MHLW 2023 Medical Facility Survey; annualised national volume per 100,000 population;</w:t>
            </w:r>
            <w:r>
              <w:rPr>
                <w:sz w:val="20"/>
                <w:vertAlign w:val="superscript"/>
              </w:rPr>
              <w:t>4</w:t>
            </w:r>
            <w:r>
              <w:rPr>
                <w:sz w:val="20"/>
              </w:rPr>
              <w:t xml:space="preserve"> 20% share assumed available for new cancer work-ups (scenario assumption)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MRI capacity per 100,000 per year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2,678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MHLW 2023 Medical Facility Survey; annualised national volume per 100,000 population;</w:t>
            </w:r>
            <w:r>
              <w:rPr>
                <w:sz w:val="20"/>
                <w:vertAlign w:val="superscript"/>
              </w:rPr>
              <w:t>4</w:t>
            </w:r>
            <w:r>
              <w:rPr>
                <w:sz w:val="20"/>
              </w:rPr>
              <w:t xml:space="preserve"> 20% share assumed available for new cancer work-ups (scenario assumption)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Endoscopy capacity per 100,000 per year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2,583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MHLW 2023 Medical Facility Survey; annualised national volume per 100,000 population;</w:t>
            </w:r>
            <w:r>
              <w:rPr>
                <w:sz w:val="20"/>
                <w:vertAlign w:val="superscript"/>
              </w:rPr>
              <w:t>4</w:t>
            </w:r>
            <w:r>
              <w:rPr>
                <w:sz w:val="20"/>
              </w:rPr>
              <w:t xml:space="preserve"> 20% share assumed available for new cancer work-ups (scenario assumption)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Specialist capacity per 100,000 per year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7,183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NDB Open Data first/revisit outpatient counts</w:t>
            </w:r>
            <w:r>
              <w:rPr>
                <w:sz w:val="20"/>
                <w:vertAlign w:val="superscript"/>
              </w:rPr>
              <w:t>8</w:t>
            </w:r>
            <w:r>
              <w:rPr>
                <w:sz w:val="20"/>
              </w:rPr>
              <w:t xml:space="preserve"> divided by JMSB cancer-relevant specialist counts;</w:t>
            </w:r>
            <w:r>
              <w:rPr>
                <w:sz w:val="20"/>
                <w:vertAlign w:val="superscript"/>
              </w:rPr>
              <w:t>9</w:t>
            </w:r>
            <w:r>
              <w:rPr>
                <w:sz w:val="20"/>
              </w:rPr>
              <w:t xml:space="preserve"> 20% share assumed available for new cancer work-ups (scenario assumption)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Primary care capacity per 100,000 per year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11,983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NDB Open Data first/revisit outpatient counts</w:t>
            </w:r>
            <w:r>
              <w:rPr>
                <w:sz w:val="20"/>
                <w:vertAlign w:val="superscript"/>
              </w:rPr>
              <w:t>8</w:t>
            </w:r>
            <w:r>
              <w:rPr>
                <w:sz w:val="20"/>
              </w:rPr>
              <w:t xml:space="preserve"> divided by JMSB internal medicine and general practice specialist counts;</w:t>
            </w:r>
            <w:r>
              <w:rPr>
                <w:sz w:val="20"/>
                <w:vertAlign w:val="superscript"/>
              </w:rPr>
              <w:t>9</w:t>
            </w:r>
            <w:r>
              <w:rPr>
                <w:sz w:val="20"/>
              </w:rPr>
              <w:t xml:space="preserve"> 20% share assumed available for new cancer work-ups (scenario assumption)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Gastric prevalence proxy (per 100,000)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84.3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2023 adult (20+) incidence, National Cancer Center Japan</w:t>
            </w:r>
            <w:r>
              <w:rPr>
                <w:sz w:val="20"/>
                <w:vertAlign w:val="superscript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Colorectal prevalence proxy (per 100,000)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123.8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2023 adult (20+) incidence, National Cancer Center Japan</w:t>
            </w:r>
            <w:r>
              <w:rPr>
                <w:sz w:val="20"/>
                <w:vertAlign w:val="superscript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Lung prevalence proxy (per 100,000)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99.7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2023 adult (20+) incidence, National Cancer Center Japan</w:t>
            </w:r>
            <w:r>
              <w:rPr>
                <w:sz w:val="20"/>
                <w:vertAlign w:val="superscript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Breast prevalence proxy (per 100,000)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83.2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2023 adult (20+) incidence, National Cancer Center Japan</w:t>
            </w:r>
            <w:r>
              <w:rPr>
                <w:sz w:val="20"/>
                <w:vertAlign w:val="superscript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Prostate prevalence proxy (per 100,000)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82.1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2023 adult (20+) incidence, National Cancer Center Japan</w:t>
            </w:r>
            <w:r>
              <w:rPr>
                <w:sz w:val="20"/>
                <w:vertAlign w:val="superscript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Liver prevalence proxy (per 100,000)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26.2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2023 adult (20+) incidence, National Cancer Center Japan</w:t>
            </w:r>
            <w:r>
              <w:rPr>
                <w:sz w:val="20"/>
                <w:vertAlign w:val="superscript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Pancreatic prevalence proxy (per 100,000)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38.2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2023 adult (20+) incidence, National Cancer Center Japan</w:t>
            </w:r>
            <w:r>
              <w:rPr>
                <w:sz w:val="20"/>
                <w:vertAlign w:val="superscript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Ovarian prevalence proxy (per 100,000)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>
              <w:rPr>
                <w:sz w:val="20"/>
              </w:rPr>
              <w:t>10.3</w:t>
            </w:r>
          </w:p>
        </w:tc>
        <w:tc>
          <w:tcPr>
            <w:tcW w:type="dxa" w:w="4896"/>
          </w:tcPr>
          <w:p>
            <w:pPr>
              <w:spacing w:line="240" w:lineRule="auto"/>
            </w:pPr>
            <w:r>
              <w:rPr>
                <w:sz w:val="20"/>
              </w:rPr>
              <w:t>2023 adult (20+) incidence, National Cancer Center Japan</w:t>
            </w:r>
            <w:r>
              <w:rPr>
                <w:sz w:val="20"/>
                <w:vertAlign w:val="superscript"/>
              </w:rPr>
              <w:t>7</w:t>
            </w:r>
          </w:p>
        </w:tc>
      </w:tr>
    </w:tbl>
    <w:p/>
    <w:p>
      <w:pPr>
        <w:pStyle w:val="Heading2"/>
      </w:pPr>
      <w:r>
        <w:t>Table 2. Baseline cases per specialist and incremental false-positive burden at 50%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Cancer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Relevant specialty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Baseline cases per specialist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False-positive specialist visits per specialist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Cases per specialist with FP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Increase (%)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Gastric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11.9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65.51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77.4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552.7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Colorectal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Gastrointestinal Surgery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63.4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174.89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238.3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275.7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Lung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Respiratory Medicine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43.9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245.38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289.2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559.6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Breast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Breast Surgery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403.5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799.33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1202.8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198.1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Prostate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Urology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85.5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221.40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306.9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258.9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Liver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Hepatology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10.1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194.25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204.4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1918.5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Pancreatic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3.8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78.65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82.4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2095.0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Ovarian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Obstetrics and Gynaecology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2.2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84.85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87.0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3885.6</w:t>
            </w:r>
          </w:p>
        </w:tc>
      </w:tr>
    </w:tbl>
    <w:p/>
    <w:p>
      <w:pPr>
        <w:pStyle w:val="Heading2"/>
      </w:pPr>
      <w:r>
        <w:t>Supplementary Table S1. Per-cancer outcomes at 50% follow-up (per 100,000 screened)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Cancer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Prevalence per 100k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Max resource utilisation (%)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Gastric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84.3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59.0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16.9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529.1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2613.4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Colorectal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123.9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86.7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998.8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7.99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11.5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542.7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2713.5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20.4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Lung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99.7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69.8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999.0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6.53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14.3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534.4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2830.1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23.8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Breast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58.2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5.51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17.2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528.7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2161.1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Prostate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82.1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57.5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5.44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528.3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2182.8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19.0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Liver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26.3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18.4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999.7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1.81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54.4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509.1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2211.9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18.0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Pancreatic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26.8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999.6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2.61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513.2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2657.4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22.0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Ovarian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10.4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999.9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0.72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137.4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503.6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2503.5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21.2</w:t>
            </w:r>
          </w:p>
        </w:tc>
      </w:tr>
    </w:tbl>
    <w:p/>
    <w:p>
      <w:pPr>
        <w:pStyle w:val="Heading2"/>
      </w:pPr>
      <w:r>
        <w:t>Supplementary Table S2. Aggregate positive predictive value under alternative age-distribution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Age-distribution scenario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Aggregate PPV (%)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FP/TP ratio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DTC bimodal (23andMe-like)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1.94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50.5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DTC screening-age purchasers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4.05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23.7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DTC younger purchasers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0.56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176.3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Adults 20+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5.39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17.5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2023 total population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</w:tr>
    </w:tbl>
    <w:p/>
    <w:p>
      <w:pPr>
        <w:pStyle w:val="Heading2"/>
      </w:pPr>
      <w:r>
        <w:t>Supplementary Table S3. One-way sensitivity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Aggregate PPV (%)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Max capacity utilisation (%)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Total visits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0.950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0.95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761.4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93922.9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0.980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2.34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312.8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38385.8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0.990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0.995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8.75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88.4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10617.2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0.999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32.42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28.6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3212.3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0.100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32.6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3974.7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0.300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97.9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11924.0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0.700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228.5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27822.8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0.900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293.8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35772.1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0.050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652.9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0.100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326.4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0.200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0.300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108.8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65.3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3.31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159.3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19484.5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0.600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3.95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161.3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19679.0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0.700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0.800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5.20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165.2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20067.8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0.900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5.81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167.1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20"/>
              </w:rPr>
              <w:t>20262.3</w:t>
            </w:r>
          </w:p>
        </w:tc>
      </w:tr>
    </w:tbl>
    <w:p/>
    <w:p>
      <w:pPr>
        <w:pStyle w:val="Heading2"/>
      </w:pPr>
      <w:r>
        <w:t>Supplementary Table S4. Aggregate outcomes by follow-up rate (base-case specificity)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Follow-up rate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Total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Max capacity utilisation (%)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3974.7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32.6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1675.6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7949.4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65.3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2513.4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11924.0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97.9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3351.2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15898.7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130.6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4189.0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19873.4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163.2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60%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5026.8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23848.1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195.9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5864.6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27822.8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228.5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6702.4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31797.5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261.2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90%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7540.2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35772.1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293.8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100%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39746.8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20"/>
              </w:rPr>
              <w:t>326.4</w:t>
            </w:r>
          </w:p>
        </w:tc>
      </w:tr>
    </w:tbl>
    <w:p/>
    <w:p>
      <w:pPr>
        <w:pStyle w:val="Heading2"/>
      </w:pPr>
      <w:r>
        <w:t>Supplementary Table S5. Sensitivity of base-case results to the prevalence proxy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Prevalence multiplier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PPV (%)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Max capacity utilisation (%)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0.25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95.9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7,998.6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1.18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83.4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153.0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0.50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191.7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7,997.3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2.34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41.7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156.4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1.00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383.5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7,994.5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4.58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20.8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163.2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1.50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575.2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7,991.8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6.71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13.9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170.0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2.00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767.0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7,989.0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8.76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10.4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20"/>
              </w:rPr>
              <w:t>176.8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