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r>
        <w:rPr>
          <w:sz w:val="24"/>
        </w:rPr>
        <w:t>False-positive cascade from direct-to-consumer MCED tests</w:t>
      </w:r>
    </w:p>
    <w:p>
      <w:pPr>
        <w:pStyle w:val="Heading1"/>
      </w:pPr>
      <w:r>
        <w:t>Supplementary tables</w:t>
      </w:r>
    </w:p>
    <w:p>
      <w:r>
        <w:rPr>
          <w:b/>
          <w:sz w:val="24"/>
        </w:rPr>
        <w:t>Supplementary Table S1. Per-cancer outcomes at 50% follow-up (per 100,000 screened).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Cancer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Prevalence per 100k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Gastric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Colorectal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123.9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86.7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998.8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7.99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11.5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542.7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2713.5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Lung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69.8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6.53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534.4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2830.1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Breast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5.51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17.2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2161.1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Prostate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5.44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528.3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2182.8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Liver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18.4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1.81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2211.9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Pancreatic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2.61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513.2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2657.4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Ovarian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0.72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503.6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2503.5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21.2</w:t>
            </w:r>
          </w:p>
        </w:tc>
      </w:tr>
    </w:tbl>
    <w:p/>
    <w:p>
      <w:r>
        <w:rPr>
          <w:b/>
          <w:sz w:val="24"/>
        </w:rPr>
        <w:t>Supplementary Table S2. Aggregate positive predictive value under alternative age-distribution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Age-distribution scenario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Aggregate PPV (%)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bimodal (23andMe-like)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1.94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50.5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screening-age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4.05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23.7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younger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0.56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176.3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Adults 20+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5.39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2023 total population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</w:tr>
    </w:tbl>
    <w:p/>
    <w:p>
      <w:r>
        <w:rPr>
          <w:b/>
          <w:sz w:val="24"/>
        </w:rPr>
        <w:t>Supplementary Table S3. One-way sensitivity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Aggregate PPV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capacity utilisation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761.4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93922.9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0.980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2.34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312.8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38385.8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8.75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88.4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10617.2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32.42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28.6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3212.3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3974.7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97.9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11924.0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228.5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27822.8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293.8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35772.1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0.050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652.9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326.4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0.200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108.8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65.3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3.31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159.3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19484.5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0.600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161.3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19679.0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0.800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5.20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165.2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20067.8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5.81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167.1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20262.3</w:t>
            </w:r>
          </w:p>
        </w:tc>
      </w:tr>
    </w:tbl>
    <w:p/>
    <w:p>
      <w:r>
        <w:rPr>
          <w:b/>
          <w:sz w:val="24"/>
        </w:rPr>
        <w:t>Supplementary Table S4. Aggregate outcomes by follow-up rate (base-case specificity).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Follow-up rate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3974.7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32.6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1675.6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7949.4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65.3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2513.4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11924.0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97.9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3351.2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15898.7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130.6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4189.0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23848.1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195.9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5864.6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27822.8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228.5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6702.4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31797.5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261.2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7540.2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35772.1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293.8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39746.8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326.4</w:t>
            </w:r>
          </w:p>
        </w:tc>
      </w:tr>
    </w:tbl>
    <w:p/>
    <w:p>
      <w:r>
        <w:rPr>
          <w:b/>
          <w:sz w:val="24"/>
        </w:rPr>
        <w:t>Supplementary Table S5. Sensitivity of base-case results (50% follow-up, specificity 0.990, sensitivity 0.70) to scaling the incidence-based prevalence proxy.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Prevalence multiplier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True positives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False positives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PPV (%)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capacity utilisation (%)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0.25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95.9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7,998.6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1.18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83.4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153.0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0.50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191.7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7,997.3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2.34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41.7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156.4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7,994.5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1.50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575.2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7,991.8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6.71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13.9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170.0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2.00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767.0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7,989.0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8.76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10.4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rPr>
                <w:sz w:val="18"/>
              </w:rPr>
              <w:t>176.8</w:t>
            </w:r>
          </w:p>
        </w:tc>
      </w:tr>
    </w:tbl>
    <w:p/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visits_by_follow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S1.</w:t>
      </w:r>
      <w:r>
        <w:rPr>
          <w:sz w:val="22"/>
        </w:rPr>
        <w:t xml:space="preserve"> Total downstream diagnostic, primary care and specialist visits generated by a blood-based MCED screening wave of 100,000 persons, by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6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ficity_sw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S2.</w:t>
      </w:r>
      <w:r>
        <w:rPr>
          <w:sz w:val="22"/>
        </w:rPr>
        <w:t xml:space="preserve"> False positives and total downstream visits per 100,000 screened across test specificity values (0.950-0.999) at a 50%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5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max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S3.</w:t>
      </w:r>
      <w:r>
        <w:rPr>
          <w:sz w:val="22"/>
        </w:rPr>
        <w:t xml:space="preserve"> Tornado diagram showing the effect of varying specificity, follow-up rate, available capacity share and sensitivity on maximum capacity utilisation (base case = 50% follow-up, 0.990 specificity, 0.70 sensitivity, 20% capacity share). Parameters are ordered by the width of their effect.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5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pp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S4.</w:t>
      </w:r>
      <w:r>
        <w:rPr>
          <w:sz w:val="22"/>
        </w:rPr>
        <w:t xml:space="preserve"> Tornado diagram showing the effect of the same four parameters on aggregate positive predictive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9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scenario_pp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S5.</w:t>
      </w:r>
      <w:r>
        <w:rPr>
          <w:sz w:val="22"/>
        </w:rPr>
        <w:t xml:space="preserve"> Aggregate positive predictive value for each cancer type under the 2023 national total-population distribution and four hypothetical direct-to-consumer purchaser age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