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pPr>
      <w:r>
        <w:rPr>
          <w:rFonts w:ascii="Times New Roman" w:hAnsi="Times New Roman"/>
          <w:b w:val="0"/>
          <w:i w:val="0"/>
          <w:sz w:val="24"/>
        </w:rPr>
        <w:t>[Date]</w:t>
      </w:r>
    </w:p>
    <w:p>
      <w:pPr>
        <w:spacing w:after="240"/>
      </w:pPr>
      <w:r>
        <w:rPr>
          <w:rFonts w:ascii="Times New Roman" w:hAnsi="Times New Roman"/>
          <w:b w:val="0"/>
          <w:i w:val="0"/>
          <w:sz w:val="24"/>
        </w:rPr>
        <w:t>The Editors</w:t>
      </w:r>
    </w:p>
    <w:p>
      <w:pPr>
        <w:spacing w:after="240"/>
      </w:pPr>
      <w:r>
        <w:rPr>
          <w:rFonts w:ascii="Times New Roman" w:hAnsi="Times New Roman"/>
          <w:b w:val="0"/>
          <w:i w:val="0"/>
          <w:sz w:val="24"/>
        </w:rPr>
        <w:t>Constitutional Political Economy</w:t>
      </w:r>
    </w:p>
    <w:p>
      <w:pPr>
        <w:spacing w:after="240"/>
      </w:pPr>
      <w:r>
        <w:rPr>
          <w:rFonts w:ascii="Times New Roman" w:hAnsi="Times New Roman"/>
          <w:b w:val="0"/>
          <w:i w:val="0"/>
          <w:sz w:val="24"/>
        </w:rPr>
        <w:t>Springer Nature</w:t>
      </w:r>
    </w:p>
    <w:p>
      <w:pPr>
        <w:spacing w:after="240"/>
      </w:pPr>
      <w:r>
        <w:rPr>
          <w:rFonts w:ascii="Times New Roman" w:hAnsi="Times New Roman"/>
          <w:b w:val="0"/>
          <w:i w:val="0"/>
          <w:sz w:val="24"/>
        </w:rPr>
        <w:t>[Editor-in-Chief or Handling Editor name, if known]</w:t>
      </w:r>
    </w:p>
    <w:p>
      <w:pPr>
        <w:spacing w:after="240"/>
      </w:pPr>
      <w:r>
        <w:rPr>
          <w:rFonts w:ascii="Times New Roman" w:hAnsi="Times New Roman"/>
          <w:b w:val="0"/>
          <w:i w:val="0"/>
          <w:sz w:val="24"/>
        </w:rPr>
      </w:r>
    </w:p>
    <w:p>
      <w:pPr>
        <w:spacing w:after="240"/>
      </w:pPr>
      <w:r>
        <w:rPr>
          <w:rFonts w:ascii="Times New Roman" w:hAnsi="Times New Roman"/>
          <w:b w:val="0"/>
          <w:i w:val="0"/>
          <w:sz w:val="24"/>
        </w:rPr>
        <w:t>Dear Editors,</w:t>
      </w:r>
    </w:p>
    <w:p>
      <w:pPr>
        <w:spacing w:after="120"/>
        <w:jc w:val="both"/>
      </w:pPr>
      <w:r>
        <w:rPr>
          <w:rFonts w:ascii="Times New Roman" w:hAnsi="Times New Roman"/>
          <w:b w:val="0"/>
          <w:i w:val="0"/>
          <w:sz w:val="24"/>
        </w:rPr>
        <w:t>We are pleased to submit our manuscript, "Democracy as Control over Delegated Authority: Constitutional Design under Periodic Delegation," for consideration as an Original Paper in Constitutional Political Economy.</w:t>
      </w:r>
    </w:p>
    <w:p>
      <w:pPr>
        <w:spacing w:after="120"/>
        <w:jc w:val="both"/>
      </w:pPr>
      <w:r>
        <w:rPr>
          <w:rFonts w:ascii="Times New Roman" w:hAnsi="Times New Roman"/>
          <w:b w:val="0"/>
          <w:i w:val="0"/>
          <w:sz w:val="24"/>
        </w:rPr>
        <w:t>The article addresses a question central to constitutional political economy: how can a democratic polity retain popular sovereignty while delegating concentrated, object-level authority to agents who must act decisively in complex societies? We argue that democracy is better understood as popular control over the source, scope, duration, termination, and residual authority of political power than as the mere presence of competitive elections. We introduce a distinction between object-level policy decisions and meta-level rules about who may decide, and we use Periodic Constitutional Dictatorship as a limiting-case thought experiment to test whether temporary concentration of object-level authority can coexist with long-run democratic control. The article builds on the constitutional-choice tradition of Buchanan, Tullock, Brennan, and Vincent Ostrom, treating the object-level/meta-level distinction as the democratic counterpart of choices within rules versus choices over rules, and it engages recent work in this journal on constitutional compliance and federalism. The argument draws on Arrow's impossibility theorem and the Gibbard-Satterthwaite theorem only as motivation for the delegation problem, not as proof of political dictatorship, and it presents a competing-hazards model and an agent-based model of intertemporal accountability as illustrative formalizations rather than empirical calibrations.</w:t>
      </w:r>
    </w:p>
    <w:p>
      <w:pPr>
        <w:spacing w:after="120"/>
        <w:jc w:val="both"/>
      </w:pPr>
      <w:r>
        <w:rPr>
          <w:rFonts w:ascii="Times New Roman" w:hAnsi="Times New Roman"/>
          <w:b w:val="0"/>
          <w:i w:val="0"/>
          <w:sz w:val="24"/>
        </w:rPr>
        <w:t>We believe the manuscript fits Constitutional Political Economy's scope because it connects formal institutional analysis to the normative design of democratic rules. The article is original, not under review elsewhere, and all authors have approved the submission.</w:t>
      </w:r>
    </w:p>
    <w:p>
      <w:pPr>
        <w:spacing w:after="120"/>
      </w:pPr>
      <w:r>
        <w:rPr>
          <w:rFonts w:ascii="Times New Roman" w:hAnsi="Times New Roman"/>
          <w:b w:val="0"/>
          <w:i w:val="0"/>
          <w:sz w:val="24"/>
        </w:rPr>
      </w:r>
    </w:p>
    <w:p>
      <w:pPr>
        <w:spacing w:after="240"/>
      </w:pPr>
      <w:r>
        <w:rPr>
          <w:rFonts w:ascii="Times New Roman" w:hAnsi="Times New Roman"/>
          <w:b w:val="0"/>
          <w:i w:val="0"/>
          <w:sz w:val="24"/>
        </w:rPr>
        <w:t xml:space="preserve">Sincerely,  </w:t>
      </w:r>
    </w:p>
    <w:p>
      <w:r>
        <w:rPr>
          <w:rFonts w:ascii="Times New Roman" w:hAnsi="Times New Roman"/>
          <w:sz w:val="24"/>
        </w:rPr>
        <w:t xml:space="preserve">Tatsuki Onishi  </w:t>
      </w:r>
    </w:p>
    <w:p>
      <w:r>
        <w:rPr>
          <w:rFonts w:ascii="Times New Roman" w:hAnsi="Times New Roman"/>
          <w:sz w:val="24"/>
        </w:rPr>
        <w:t xml:space="preserve">[Affiliation]  </w:t>
      </w:r>
    </w:p>
    <w:p>
      <w:r>
        <w:rPr>
          <w:rFonts w:ascii="Times New Roman" w:hAnsi="Times New Roman"/>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