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sz w:val="28"/>
        </w:rPr>
        <w:t>Democracy as Control over Delegated Authority</w:t>
      </w:r>
    </w:p>
    <w:p>
      <w:pPr>
        <w:pStyle w:val="Subtitle"/>
        <w:jc w:val="center"/>
      </w:pPr>
      <w:r>
        <w:rPr>
          <w:b w:val="0"/>
          <w:i w:val="0"/>
          <w:sz w:val="24"/>
        </w:rPr>
        <w:t>Constitutional Design under Periodic Delegation</w:t>
      </w:r>
    </w:p>
    <w:p>
      <w:pPr/>
      <w:r>
        <w:rPr>
          <w:b/>
          <w:i w:val="0"/>
        </w:rPr>
        <w:t>Title Page</w:t>
      </w:r>
    </w:p>
    <w:p>
      <w:pPr/>
      <w:r>
        <w:rPr>
          <w:b w:val="0"/>
          <w:i w:val="0"/>
        </w:rPr>
        <w:t>Title: Democracy as Control over Delegated Authority: Constitutional Design under Periodic Delegation</w:t>
      </w:r>
    </w:p>
    <w:p>
      <w:pPr/>
      <w:r>
        <w:rPr>
          <w:b w:val="0"/>
          <w:i w:val="0"/>
        </w:rPr>
        <w:t>Authors: [Author names and affiliations to be inserted]</w:t>
      </w:r>
    </w:p>
    <w:p>
      <w:pPr/>
      <w:r>
        <w:rPr>
          <w:b w:val="0"/>
          <w:i w:val="0"/>
        </w:rPr>
        <w:t>Corresponding author: [Email address to be inserted]</w:t>
      </w:r>
    </w:p>
    <w:p>
      <w:pPr/>
      <w:r>
        <w:rPr>
          <w:b/>
          <w:i w:val="0"/>
        </w:rPr>
        <w:t>Acknowledgments</w:t>
      </w:r>
    </w:p>
    <w:p>
      <w:pPr/>
      <w:r>
        <w:rPr>
          <w:b w:val="0"/>
          <w:i w:val="0"/>
        </w:rPr>
        <w:t>Funding and other acknowledgments to be inserted.</w:t>
      </w:r>
    </w:p>
    <w:p>
      <w:pPr/>
      <w:r>
        <w:rPr>
          <w:b/>
          <w:i w:val="0"/>
        </w:rPr>
        <w:t>Statements and Declarations</w:t>
      </w:r>
    </w:p>
    <w:p>
      <w:pPr/>
      <w:r>
        <w:rPr>
          <w:b w:val="0"/>
          <w:i w:val="0"/>
        </w:rPr>
        <w:t>Competing interests: The authors declare that they have no competing interests.</w:t>
      </w:r>
    </w:p>
    <w:p>
      <w:pPr/>
      <w:r>
        <w:rPr>
          <w:b w:val="0"/>
          <w:i w:val="0"/>
        </w:rPr>
        <w:t>Funding: [To be inserted if applicable]</w:t>
      </w:r>
    </w:p>
    <w:p>
      <w:pPr/>
      <w:r>
        <w:rPr>
          <w:b w:val="0"/>
          <w:i w:val="0"/>
        </w:rPr>
        <w:t>Ethics approval: Not applicable.</w:t>
      </w:r>
    </w:p>
    <w:p>
      <w:pPr/>
      <w:r>
        <w:rPr>
          <w:b w:val="0"/>
          <w:i w:val="0"/>
        </w:rPr>
        <w:t>Consent to participate: Not applicable.</w:t>
      </w:r>
    </w:p>
    <w:p>
      <w:pPr/>
      <w:r>
        <w:rPr>
          <w:b w:val="0"/>
          <w:i w:val="0"/>
        </w:rPr>
        <w:t>Consent for publication: Not applicable.</w:t>
      </w:r>
    </w:p>
    <w:p>
      <w:pPr/>
      <w:r>
        <w:rPr>
          <w:b w:val="0"/>
          <w:i w:val="0"/>
        </w:rPr>
        <w:t>Author contributions: [To be inserted]</w:t>
      </w:r>
    </w:p>
    <w:p>
      <w:pPr/>
      <w:r>
        <w:rPr>
          <w:b w:val="0"/>
          <w:i w:val="0"/>
        </w:rPr>
        <w:t>Data availability: The simulation code and data that reproduce the figures and numerical illustrations are available at https://github.com/bougtoir/democratic-dictator. Running `python3 simulation_en.py` with the fixed random seed 42 regenerates `simulation_summary_en.txt`, `simulation_p1_en.png`, and `simulation_p2_en.png`.</w:t>
      </w:r>
    </w:p>
    <w:p>
      <w:pPr/>
      <w:r>
        <w:rPr>
          <w:b w:val="0"/>
          <w:i w:val="0"/>
        </w:rPr>
        <w:t>AI/LLM statement: AI-assisted tools were used for language editing and manuscript formatting. The authors retain full responsibility for the content.</w:t>
      </w:r>
    </w:p>
    <w:p>
      <w:pPr/>
      <w:r>
        <w:rPr>
          <w:b/>
          <w:i w:val="0"/>
        </w:rPr>
        <w:t>Abstract</w:t>
      </w:r>
    </w:p>
    <w:p>
      <w:pPr/>
      <w:r>
        <w:rPr>
          <w:b w:val="0"/>
          <w:i w:val="0"/>
        </w:rPr>
        <w:t>This article treats constitutional design as the choice of how citizens allocate and retain control rights over delegated political authority. It develops a control-rights conception of democracy in which popular sovereignty consists of control over the source, scope, duration, termination, and residual allocation of authority, and it distinguishes object-level choices within rules from meta-level choices over rules, in the tradition of constitutional political economy. Periodic Constitutional Dictatorship (PCD), a scheduled and bounded concentration of object-level authority, is then used as a limiting-case thought experiment to ask how far delegation can be pushed before meta-level democratic control fails. Drawing on social-choice theory, a competing-hazards model, and an agent-based model of intertemporal accountability, the argument shows why delegation is unavoidable, how the choice of a constitutional cycle minimizes the expected loss from institutional sclerosis and abuse of power, and how a rare high-value trust election can lengthen the shadow of the future. The framework offers a common vocabulary for analyzing executive aggrandizement, constitutional compliance, and democratic backsliding as changes in the allocation of control rights.</w:t>
      </w:r>
    </w:p>
    <w:p>
      <w:pPr/>
      <w:r>
        <w:rPr>
          <w:b/>
        </w:rPr>
        <w:t>Keywords:</w:t>
      </w:r>
      <w:r>
        <w:rPr>
          <w:b w:val="0"/>
          <w:i w:val="0"/>
        </w:rPr>
        <w:t xml:space="preserve"> constitutional political economy, control rights, delegation, constitutional choice, accountability, periodic constitutional dictatorship</w:t>
      </w:r>
    </w:p>
    <w:p>
      <w:pPr/>
      <w:r>
        <w:rPr>
          <w:b/>
        </w:rPr>
        <w:t>JEL Classification:</w:t>
      </w:r>
      <w:r>
        <w:rPr>
          <w:b w:val="0"/>
          <w:i w:val="0"/>
        </w:rPr>
        <w:t xml:space="preserve"> D71, D72, H11, K10, P16</w:t>
      </w:r>
    </w:p>
    <w:p>
      <w:pPr>
        <w:pStyle w:val="Heading1"/>
      </w:pPr>
      <w:r>
        <w:rPr>
          <w:b w:val="0"/>
          <w:i w:val="0"/>
        </w:rPr>
        <w:t>1. Introduction</w:t>
      </w:r>
    </w:p>
    <w:p>
      <w:pPr/>
      <w:r>
        <w:rPr>
          <w:b w:val="0"/>
          <w:i w:val="0"/>
        </w:rPr>
        <w:t>Political science has long recognized that democracy cannot be reduced to elections (Dahl 1971; Przeworski 1991; Schumpeter 1942). Since Schumpeter (1942) offered the minimalist definition of democracy as a competitive struggle for votes, scholars have layered on participation and contestation (Dahl 1971), the material conditions under which rulers face credible constraints (Acemoglu and Robinson 2006), the liberal constraints of rights and the rule of law (Zakaria 1997), participatory and deliberative engagement (Habermas 1996; Pateman 1970), principal-agent and representation problems (Fearon 1999; Mansbridge 2003; Urbinati and Warren 2008), and, more recently, the warning that elections can survive while democratic control erodes (Bermeo 2016). These literatures are not mistaken; each identifies a genuine democratic value. They are, however, often discussed in isolation. What is missing is a common coordinate system that records which dimensions of authority the people retain and which they delegate. The result is a democratic theory that is rich in concepts but poor in architecture: we can say that a regime has elections, or participation, or constitutional constraints, but we struggle to say how those pieces fit together into a single account of popular sovereignty. Constitutional political economy offers a starting point. Buchanan and Tullock (1962) separated the choice of rules from choices within rules, and Brennan and Buchanan (1985) argued that the normative evaluation of a polity should attach to its rules rather than to particular outcomes. V. Ostrom (1987) extended this logic to the design of compound republics in which authority is deliberately divided and no single center of decision holds the last word. What these authors did not supply is a decomposition of the rules themselves into the specific dimensions of authority that citizens keep or give away. A control-rights framework supplies that decomposition by treating democracy as a vector of rights over delegated authority, and it thereby connects the constitutional-choice tradition to the wider literature on democratic theory.</w:t>
      </w:r>
    </w:p>
    <w:p>
      <w:pPr/>
      <w:r>
        <w:rPr>
          <w:b w:val="0"/>
          <w:i w:val="0"/>
        </w:rPr>
        <w:t>That absence matters because the contemporary democratic predicament is not only, or even primarily, a shortage of elections. In many advanced democracies, institutions have grown thick with accumulated commitments, veto points have multiplied, and policy reform has become sluggish (Olson 1982; Tsebelis 2002). When elections then become the only regular channel through which citizens express political will, parties optimize for immediate impressions, bundle heterogeneous preferences into a single vote, and cultivate personality over capability (Przeworski 1991). Populist strongmen arise not despite elections but partly because elections have become the sole recognized expression of the popular will: a leader who wins a vote can claim a mandate to redefine the rules (Bermeo 2016). The analytical task is to understand whether this sequence is a necessary feature of democratic development or a symptom of an overly narrow conception of democracy itself. One plausible answer is that democracy has become synonymous with the technology of elections, and that technology has become overburdened. Elections are asked to do too much at once: to authorize governments, to discipline them, to aggregate preferences, to legitimate policies, and to express the popular will. When they fail at any of these tasks, the democratic deficit is attributed to the voters, the parties, or the media rather than to the design of the institutions themselves. A control-rights approach shifts the question from whether elections are held to whether the people retain the rights that make elections meaningful.</w:t>
      </w:r>
    </w:p>
    <w:p>
      <w:pPr/>
      <w:r>
        <w:rPr>
          <w:b w:val="0"/>
          <w:i w:val="0"/>
        </w:rPr>
        <w:t>The central claim is that constitutional design determines how citizens allocate and retain control rights over delegated political authority, and that the democratic quality of a constitution is a property of that allocation rather than of the electoral calendar. The article makes three contributions. First, it develops a control-rights conception of democracy in which popular sovereignty consists of control over the source, scope, duration, termination, and residual allocation of political authority. Second, it distinguishes object-level concentration of decision-making authority from meta-level democratic control over that authority, a distinction that maps onto the constitutional-choice literature's separation of choices within rules from choices over rules. Third, it uses Periodic Constitutional Dictatorship (PCD), an extreme constitutional delegation mechanism, as a limiting-case thought experiment to investigate whether temporary concentration of object-level power can coexist with, and under some conditions strengthen, long-run popular control.</w:t>
      </w:r>
    </w:p>
    <w:p>
      <w:pPr/>
      <w:r>
        <w:rPr>
          <w:b w:val="0"/>
          <w:i w:val="0"/>
        </w:rPr>
        <w:t>The reorientation has practical bite. If democracy is best understood as an architecture of control rights, then a regime can be more or less democratic even when it delegates concentrated object-level authority. The question is not whether power is ever wielded by a single office or a small group--modern central banks, administrative agencies, and executives routinely do so--but whether the people retain the rights that define the architecture within which that power is exercised. The thought experiment developed below asks how far that logic can be pushed. By treating PCD as a stress test rather than a policy proposal, the article attempts to clarify the boundary between democratic delegation and democratic collapse.</w:t>
      </w:r>
    </w:p>
    <w:p>
      <w:pPr/>
      <w:r>
        <w:rPr>
          <w:b w:val="0"/>
          <w:i w:val="0"/>
        </w:rPr>
        <w:t>The argument proceeds as follows. Section 2 develops the control-rights framework and shows how it unifies existing democratic theory. Section 3 introduces the object-level/meta-level distinction and explains why it is theoretically central. Section 4 presents PCD as a limiting-case device. Section 5 reviews the social-choice motivation for delegation without overstating it. Section 6 formalizes the competing hazards of sclerosis and abuse as a constitutional-cycle problem. Section 7 analyzes intertemporal constitutional incentives and the trust-election mechanism. Section 8 discusses institutional safeguards and comparative implications. Section 9 addresses objections and empirical implications, and Section 10 concludes.</w:t>
      </w:r>
    </w:p>
    <w:p>
      <w:pPr>
        <w:pStyle w:val="Heading1"/>
      </w:pPr>
      <w:r>
        <w:rPr>
          <w:b w:val="0"/>
          <w:i w:val="0"/>
        </w:rPr>
        <w:t>2. Democracy as Control over Delegated Authority</w:t>
      </w:r>
    </w:p>
    <w:p>
      <w:pPr/>
      <w:r>
        <w:rPr>
          <w:b w:val="0"/>
          <w:i w:val="0"/>
        </w:rPr>
        <w:t xml:space="preserve">Modern democracy is, at its core, a problem of delegated authority (Jensen and Meckling 1976). Citizens cannot continuously make every decision, so they authorize agents--legislators, executives, judges, administrators, central bankers--to act on their behalf. The principal-agent lens does not deny the value of participation or deliberation; it simply notes that delegation is unavoidable in any large polity and that the interesting normative questions concern the terms of that delegation. In the language of constitutional political economy, those terms are the rules chosen at the constitutional stage, before the players know which side of a given post-constitutional dispute they will occupy (Buchanan and Tullock 1962; Buchanan 1975). Positive constitutional economics has shown that such rules have measurable consequences for fiscal outcomes, rent-seeking, and government behavior (Voigt 2011), and recent work in this journal has examined when governments comply with the constitutional constraints they have inherited (Grajzl et al. 2025; Kantorowicz and Voigt 2025). Those terms can be represented by a vector of control rights, </w:t>
      </w:r>
      <m:oMath>
        <m:r>
          <m:rPr>
            <m:sty m:val="i"/>
          </m:rPr>
          <w:rPr>
            <w:rFonts w:ascii="Times New Roman" w:hAnsi="Times New Roman" w:cs="Times New Roman" w:eastAsia="Times New Roman"/>
          </w:rPr>
          <m:t>Θ</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c</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d</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e</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oMath>
      <w:r>
        <w:rPr>
          <w:b w:val="0"/>
          <w:i w:val="0"/>
        </w:rPr>
        <w:t>, where each component records who controls a different dimension of the delegated authority. The vector is not a reduction of democracy to a set of contracts; it is a way of seeing how authorization, constraint, and accountability are distributed in a polity. Each component can be more or less democratic, and a regime can be democratic in some dimensions while deficient in others. A polity that elects its executive but cannot remove it, or that delegates broad scope but has no residual interpreter, is incomplete in ways that the vector makes explicit. Conversely, a polity that lacks competitive elections may still retain significant control rights through other channels, such as popular assemblies, judicial review, or federal veto points. The vector therefore captures degrees of democracy rather than a simple democratic/non-democratic dichotomy, which is essential for analyzing backsliding and hybrid regimes.</w:t>
      </w:r>
    </w:p>
    <w:p>
      <w:pPr/>
      <w:r>
        <w:rPr>
          <w:b w:val="0"/>
          <w:i w:val="0"/>
        </w:rPr>
        <w:t xml:space="preserve">The first dimension,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s</m:t>
            </m:r>
          </m:sub>
        </m:sSub>
      </m:oMath>
      <w:r>
        <w:rPr>
          <w:b w:val="0"/>
          <w:i w:val="0"/>
        </w:rPr>
        <w:t xml:space="preserve">, is the source of authority: who decides which agent holds power and by what procedure. Elections are one source, but not the only one; lotteries, sortition, deliberative mini-publics, constitutional conventions, and other mechanisms can also generate legitimate authorization (Dahl 1971; Pateman 1970). The second dimension,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c</m:t>
            </m:r>
          </m:sub>
        </m:sSub>
      </m:oMath>
      <w:r>
        <w:rPr>
          <w:b w:val="0"/>
          <w:i w:val="0"/>
        </w:rPr>
        <w:t xml:space="preserve">, is the scope of authority: which domains the agent may decide. A democracy may delegate broad discretion in some areas and retain tight constraints in others. The third dimension,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d</m:t>
            </m:r>
          </m:sub>
        </m:sSub>
      </m:oMath>
      <w:r>
        <w:rPr>
          <w:b w:val="0"/>
          <w:i w:val="0"/>
        </w:rPr>
        <w:t xml:space="preserve">, is duration: how long the authority lasts. Fixed terms, term limits, and sunset clauses are familiar instruments of duration control. The fourth dimension,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e</m:t>
            </m:r>
          </m:sub>
        </m:sSub>
      </m:oMath>
      <w:r>
        <w:rPr>
          <w:b w:val="0"/>
          <w:i w:val="0"/>
        </w:rPr>
        <w:t xml:space="preserve">, is termination: the conditions and procedures through which authority can be revoked before its natural expiration. Impeachment, votes of no confidence, recall, and judicial invalidation are examples. The fifth dimension,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r</m:t>
            </m:r>
          </m:sub>
        </m:sSub>
      </m:oMath>
      <w:r>
        <w:rPr>
          <w:b w:val="0"/>
          <w:i w:val="0"/>
        </w:rPr>
        <w:t>, is residual control: who decides disputes about the interpretation of the other dimensions, and who holds the authority not yet allocated. Constitutional courts, federalism, and popular referenda are typical residual controllers. Residual control is often the most contested dimension because it determines who has the last word when the other dimensions conflict. A legislature that can override judicial review, a president who can pack the courts, or a party that can rewrite the rules of its own re-election all threaten democracy at the residual level, even if elections continue. Conversely, a strong residual controller can compensate for weaknesses elsewhere: an independent court can enforce scope limits, and a federal structure can provide multiple sites of residual authority.</w:t>
      </w:r>
    </w:p>
    <w:p>
      <w:pPr/>
      <w:r>
        <w:rPr>
          <w:b w:val="0"/>
          <w:i w:val="0"/>
        </w:rPr>
        <w:t xml:space="preserve">This decomposition provides the missing coordinate system. Minimalist definitions (Schumpeter 1942) focus primarily on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s</m:t>
            </m:r>
          </m:sub>
        </m:sSub>
      </m:oMath>
      <w:r>
        <w:rPr>
          <w:b w:val="0"/>
          <w:i w:val="0"/>
        </w:rPr>
        <w:t xml:space="preserve">: competitive elections as the source of authority. Polyarchy (Dahl 1971) adds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c</m:t>
            </m:r>
          </m:sub>
        </m:sSub>
      </m:oMath>
      <w:r>
        <w:rPr>
          <w:b w:val="0"/>
          <w:i w:val="0"/>
        </w:rPr>
        <w:t xml:space="preserve"> and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e</m:t>
            </m:r>
          </m:sub>
        </m:sSub>
      </m:oMath>
      <w:r>
        <w:rPr>
          <w:b w:val="0"/>
          <w:i w:val="0"/>
        </w:rPr>
        <w:t xml:space="preserve"> by emphasizing contestation and the right to oppose. Liberal and constitutional conceptions (Zakaria 1997) foreground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r</m:t>
            </m:r>
          </m:sub>
        </m:sSub>
      </m:oMath>
      <w:r>
        <w:rPr>
          <w:b w:val="0"/>
          <w:i w:val="0"/>
        </w:rPr>
        <w:t xml:space="preserve"> and the legal rules that bind all agents. Participatory and deliberative accounts (Habermas 1996; Pateman 1970) enrich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s</m:t>
            </m:r>
          </m:sub>
        </m:sSub>
      </m:oMath>
      <w:r>
        <w:rPr>
          <w:b w:val="0"/>
          <w:i w:val="0"/>
        </w:rPr>
        <w:t xml:space="preserve"> by treating authorization as an ongoing process of judgment and engagement rather than a one-shot electoral choice. Principal-agent and representation theory (Fearon 1999; Mansbridge 2003; Urbinati and Warren 2008) directs attention to the incentive effects of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d</m:t>
            </m:r>
          </m:sub>
        </m:sSub>
      </m:oMath>
      <w:r>
        <w:rPr>
          <w:b w:val="0"/>
          <w:i w:val="0"/>
        </w:rPr>
        <w:t xml:space="preserve"> and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e</m:t>
            </m:r>
          </m:sub>
        </m:sSub>
      </m:oMath>
      <w:r>
        <w:rPr>
          <w:b w:val="0"/>
          <w:i w:val="0"/>
        </w:rPr>
        <w:t xml:space="preserve">: agents whose survival depends on periodic review behave differently from agents whose position is secure. Democratic backsliding (Bermeo 2016) can then be understood as the erosion of one or more components of </w:t>
      </w:r>
      <m:oMath>
        <m:r>
          <m:rPr>
            <m:sty m:val="i"/>
          </m:rPr>
          <w:rPr>
            <w:rFonts w:ascii="Times New Roman" w:hAnsi="Times New Roman" w:cs="Times New Roman" w:eastAsia="Times New Roman"/>
          </w:rPr>
          <m:t>Θ</m:t>
        </m:r>
      </m:oMath>
      <w:r>
        <w:rPr>
          <w:b w:val="0"/>
          <w:i w:val="0"/>
        </w:rPr>
        <w:t>--often while elections, the most visible dimension, remain in place.</w:t>
      </w:r>
    </w:p>
    <w:p>
      <w:pPr/>
      <w:r>
        <w:rPr>
          <w:b w:val="0"/>
          <w:i w:val="0"/>
        </w:rPr>
        <w:t xml:space="preserve">The framework also clarifies why democratic theory often talks past itself. A proponent of participation may criticize a minimalist for ignoring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s</m:t>
            </m:r>
          </m:sub>
        </m:sSub>
      </m:oMath>
      <w:r>
        <w:rPr>
          <w:b w:val="0"/>
          <w:i w:val="0"/>
        </w:rPr>
        <w:t xml:space="preserve"> beyond elections; a constitutionalist may criticize both for neglecting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r</m:t>
            </m:r>
          </m:sub>
        </m:sSub>
      </m:oMath>
      <w:r>
        <w:rPr>
          <w:b w:val="0"/>
          <w:i w:val="0"/>
        </w:rPr>
        <w:t xml:space="preserve">; a student of backsliding may warn that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c</m:t>
            </m:r>
          </m:sub>
        </m:sSub>
      </m:oMath>
      <w:r>
        <w:rPr>
          <w:b w:val="0"/>
          <w:i w:val="0"/>
        </w:rPr>
        <w:t xml:space="preserve"> and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e</m:t>
            </m:r>
          </m:sub>
        </m:sSub>
      </m:oMath>
      <w:r>
        <w:rPr>
          <w:b w:val="0"/>
          <w:i w:val="0"/>
        </w:rPr>
        <w:t xml:space="preserve"> are being captured by the executive. These are not disagreements about whether democracy is good; they are disagreements about which control rights are essential and how they interact. The </w:t>
      </w:r>
      <m:oMath>
        <m:r>
          <m:rPr>
            <m:sty m:val="i"/>
          </m:rPr>
          <w:rPr>
            <w:rFonts w:ascii="Times New Roman" w:hAnsi="Times New Roman" w:cs="Times New Roman" w:eastAsia="Times New Roman"/>
          </w:rPr>
          <m:t>Θ</m:t>
        </m:r>
      </m:oMath>
      <w:r>
        <w:rPr>
          <w:b w:val="0"/>
          <w:i w:val="0"/>
        </w:rPr>
        <w:t xml:space="preserve"> vector does not resolve those disagreements, but it makes them commensurable. It also suggests why democracy is not a binary condition. Regimes can be arrayed along each dimension, and a regime can become less democratic without crossing a single threshold. A country may hold free elections while its executive aggrandizes power, its courts lose independence, or its bureaucracy becomes captured by private interests. Each of these developments is a change in the control-rights architecture, and each can be analyzed independently of the others. The framework therefore offers a more granular language for describing democratic erosion than the familiar dichotomy between democracy and dictatorship.</w:t>
      </w:r>
    </w:p>
    <w:p>
      <w:pPr/>
      <w:r>
        <w:rPr>
          <w:b w:val="0"/>
          <w:i w:val="0"/>
        </w:rPr>
        <w:t xml:space="preserve">Urbinati and Warren (2008) argue that representation in contemporary democratic theory is not merely a pragmatic substitute for direct rule but a complex activity of authorization, accountability, and political judgment. Their account fits naturally into the control-rights framework: representation is the channel through which the source and termination of authority are connected to public judgment. Fearon (1999) distinguishes between selecting desirable types of politicians and sanctioning poor performance, a distinction that maps directly onto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s</m:t>
            </m:r>
          </m:sub>
        </m:sSub>
      </m:oMath>
      <w:r>
        <w:rPr>
          <w:b w:val="0"/>
          <w:i w:val="0"/>
        </w:rPr>
        <w:t xml:space="preserve"> and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e</m:t>
            </m:r>
          </m:sub>
        </m:sSub>
      </m:oMath>
      <w:r>
        <w:rPr>
          <w:b w:val="0"/>
          <w:i w:val="0"/>
        </w:rPr>
        <w:t xml:space="preserve">. Mansbridge (2003) adds that representation can be promissory, anticipatory, gyroscopic, or surrogate, depending on how agents align their behavior with the public will; each mode corresponds to different configurations of scope, duration, and residual control. Bermeo (2016) shows that contemporary democratic backsliding often takes the form of executive aggrandizement--an expansion of scope, a weakening of termination, or a capture of residual control--rather than the outright abolition of elections. The control-rights framework makes these diverse phenomena visible as variations on a common theme. It also helps explain why democratic backsliding can be hard to detect in real time. Because elections are the most visible dimension of </w:t>
      </w:r>
      <m:oMath>
        <m:r>
          <m:rPr>
            <m:sty m:val="i"/>
          </m:rPr>
          <w:rPr>
            <w:rFonts w:ascii="Times New Roman" w:hAnsi="Times New Roman" w:cs="Times New Roman" w:eastAsia="Times New Roman"/>
          </w:rPr>
          <m:t>Θ</m:t>
        </m:r>
      </m:oMath>
      <w:r>
        <w:rPr>
          <w:b w:val="0"/>
          <w:i w:val="0"/>
        </w:rPr>
        <w:t>, observers often focus on them and miss the gradual erosion of scope, termination, and residual control. A leader who wins an election and then captures the courts, restricts the press, and weakens federalism is not abolishing democracy in one stroke; he is altering the control-rights architecture one dimension at a time. The framework therefore has both diagnostic and preventive value: it directs attention to the dimensions that are changing, not only to the ones that are most visible.</w:t>
      </w:r>
    </w:p>
    <w:p>
      <w:pPr>
        <w:pStyle w:val="Heading1"/>
      </w:pPr>
      <w:r>
        <w:rPr>
          <w:b w:val="0"/>
          <w:i w:val="0"/>
        </w:rPr>
        <w:t>3. Object-Level Authority and Meta-Level Democracy</w:t>
      </w:r>
    </w:p>
    <w:p>
      <w:pPr/>
      <w:r>
        <w:rPr>
          <w:b w:val="0"/>
          <w:i w:val="0"/>
        </w:rPr>
        <w:t>The next step is to separate two senses in which a polity can be democratic. Object-level democracy concerns who makes ordinary political decisions: tax rates, regulatory rules, military commitments, distributive programs. Meta-level democracy concerns who decides the rules of decision-making and under what terms. Object-level authority can be concentrated in a single office, a committee, a bureaucracy, or an independent agency without ceasing to be democratically controlled, provided the people retain the meta-level rights that define the architecture of that authority. The distinction is not between direct and representative democracy; it is between the content of political decisions and the constitutional structure within which they are made. Object-level authority is exercised within rules; meta-level authority is exercised over rules. The latter is what makes the former democratically legitimate, not the other way around. The distinction is the democratic counterpart of the constitutional/post-constitutional divide in Buchanan and Tullock (1962) and Brennan and Buchanan (1985): what makes a polity democratic is not that citizens win every post-constitutional contest but that they hold the constitutional-stage rights that define the contest. Lewis and Meadowcroft (2024) read Buchanan and Vincent Ostrom as constitutional artisans who saw citizens as capable of crafting and recrafting the rules under which they live; the object-level/meta-level distinction specifies which rights that craftsmanship must preserve.</w:t>
      </w:r>
    </w:p>
    <w:p>
      <w:pPr/>
      <w:r>
        <w:rPr>
          <w:b w:val="0"/>
          <w:i w:val="0"/>
        </w:rPr>
        <w:t>This distinction is familiar in other domains. In corporate law, shareholders retain meta-level control--voting on mergers, amending charter provisions, electing the board--while managers exercise concentrated object-level authority over daily operations (Jensen and Meckling 1976). In administrative law, legislatures and courts set the scope and procedure of agency action, while agencies exercise discretion within those bounds. In federal systems, state and local governments exercise object-level authority in many domains, but the meta-rules of federalism are themselves subject to constitutional revision. In the governance of common-pool resources, users who craft, monitor, and revise their own operational rules retain meta-level control even when day-to-day decisions are made by a small group (E. Ostrom 1990). The democratic legitimacy of these arrangements does not depend on every citizen voting on every decision; it depends on the public retaining the rights that define who may decide what, for how long, and under what constraints. This is why a shareholder-owned firm can be democratic in a thin sense even though most shareholders do not manage operations, and why an administrative agency can be democratically legitimate even though most citizens do not vote on its rules. The democratic question is not whether the people make each decision, but whether they control the terms on which others make decisions for them. This formulation preserves the core intuition of popular sovereignty while recognizing that sovereignty in a large, complex society must be exercised through agents and institutions.</w:t>
      </w:r>
    </w:p>
    <w:p>
      <w:pPr/>
      <w:r>
        <w:rPr>
          <w:b w:val="0"/>
          <w:i w:val="0"/>
        </w:rPr>
        <w:t>When the distinction is ignored, two errors become easy. The first is to equate democracy with object-level majoritarianism: the belief that every significant decision must be made by a popular majority or its immediate representatives. That equation makes large, complex societies ungovernable and feeds the demand for a strongman who promises to cut through gridlock. The second error is to equate democracy with the mere existence of elections, regardless of the scope, duration, termination, or residual control of the resulting authority. That equation allows backsliding to proceed under democratic cover. The object-level/meta-level distinction avoids both errors. It permits the delegation of concentrated object-level authority while insisting that such delegation be structured by meta-level democratic control.</w:t>
      </w:r>
    </w:p>
    <w:p>
      <w:pPr/>
      <w:r>
        <w:rPr>
          <w:b w:val="0"/>
          <w:i w:val="0"/>
        </w:rPr>
        <w:t>The distinction also clarifies the relationship between emergencies and democracy. Emergency powers concentrate object-level authority in the executive, and they often do so because ordinary procedures are too slow for the problem at hand. The democratic danger of emergencies is not the concentration itself but the possibility that the concentration will alter the meta-rules: that the executive will suspend elections, capture the courts, or rule by decree indefinitely. A democratic emergency regime is one in which the source, scope, duration, termination, and residual control of the emergency power remain intact. The challenge is that emergencies create pressure to relax all of these controls at once, on the grounds that speed and secrecy are necessary. The control-rights framework suggests that the democratic response to emergency is not to deny the need for speed but to design institutions that can act quickly without permanently transferring meta-level authority. Sunset clauses, legislative reporting requirements, judicial review after the fact, and independent oversight bodies are all mechanisms for preserving control rights during emergencies. The thought experiment of PCD extends that logic from emergencies to ordinary renewal, asking whether a scheduled, bounded concentration can produce the benefits of emergency action without the democratic damage. A constitution may create a temporary dictator for a specified domain and duration while retaining the source, scope, termination, and residual controls in the public. The question is not whether the dictator exists but whether the dictator is a servant or a master of the constitutional architecture. The thought experiment of Periodic Constitutional Dictatorship is designed to push this logic to its limit.</w:t>
      </w:r>
    </w:p>
    <w:p>
      <w:pPr>
        <w:pStyle w:val="Heading1"/>
      </w:pPr>
      <w:r>
        <w:rPr>
          <w:b w:val="0"/>
          <w:i w:val="0"/>
        </w:rPr>
        <w:t>4. PCD as a Limiting-Case Thought Experiment</w:t>
      </w:r>
    </w:p>
    <w:p>
      <w:pPr/>
      <w:r>
        <w:rPr>
          <w:b w:val="0"/>
          <w:i w:val="0"/>
        </w:rPr>
        <w:t>Periodic Constitutional Dictatorship (PCD) is a thought experiment, not a policy proposal. It asks what would happen if citizens periodically selected a single official and delegated to that official extraordinary but constitutionally bounded authority for a fixed period. The official would be chosen in a separate "trust election" distinct from ordinary representative elections. The scope of authority would be defined in advance; the duration would be fixed; termination would occur automatically at the end of the term; and residual control--interpretation of the constitutional bounds, enforcement of the expiration, and the decision whether to renew the arrangement--would remain with the people and independent institutions. The purpose is not to recommend dictatorship but to test whether a democratic people can design an architecture in which even a temporary dictator remains a delegated agent. The test is severe: if the architecture can survive the most extreme form of object-level concentration, then it can survive lesser concentrations. If it cannot, then the problem is not the dictator but the weakness of the control rights that are supposed to contain the dictator.</w:t>
      </w:r>
    </w:p>
    <w:p>
      <w:pPr/>
      <w:r>
        <w:rPr>
          <w:b w:val="0"/>
          <w:i w:val="0"/>
        </w:rPr>
        <w:t>The device is related to, but distinct from, the classical idea of constitutional dictatorship analyzed by Rossiter (1948).</w:t>
      </w:r>
    </w:p>
    <w:p>
      <w:pPr>
        <w:pStyle w:val="Heading2"/>
      </w:pPr>
      <w:r>
        <w:rPr>
          <w:b w:val="0"/>
          <w:i w:val="0"/>
        </w:rPr>
        <w:t>4.1 Constitutional Dictatorship and the Roman Precedent</w:t>
      </w:r>
    </w:p>
    <w:p>
      <w:pPr/>
      <w:r>
        <w:rPr>
          <w:b w:val="0"/>
          <w:i w:val="0"/>
        </w:rPr>
        <w:t>Rossiter (1948) turned to the Roman dictatorship in order to show that a constitutional order can temporarily concentrate authority without surrendering constitutional supremacy. In the Roman Republic the senate could nominate a dictator for a fixed term, typically six months, in response to a specified emergency such as a military invasion. The dictator's authority was formally unlimited within the assigned scope, but the source of the appointment, the explicit mandate, and the automatic expiration allowed the Republic to retrieve power once the crisis passed (Lintott 1999). The Roman arrangement therefore displays all five dimensions of the control-rights vector: the source of the office lay in the senate's formal nomination; the scope was defined by the mandate at the moment of appointment; the duration was fixed, usually six months; termination occurred automatically unless a fresh constitutional procedure extended the term; and residual control over the rules themselves remained with the senate, the assemblies, and the unwritten mos maiorum. Roman dictatorship was not democratic in the modern sense, but it was constitutional: it located extraordinary object-level authority within a meta-level structure that retained the authority to define, limit, and terminate the delegation.</w:t>
      </w:r>
    </w:p>
    <w:p>
      <w:pPr/>
      <w:r>
        <w:rPr>
          <w:b w:val="0"/>
          <w:i w:val="0"/>
        </w:rPr>
        <w:t>The Roman precedent is useful because it shows that the danger of dictatorship is not concentration itself but the absence of surrounding controls. When source, scope, duration, termination, and residual control are clearly specified and enforced, a temporary dictator remains an agent of the constitutional order rather than its master. The collapse of the Republic, by contrast, illustrates what happens when those controls erode. Sulla and Caesar were appointed to offices that retained the name of dictator but broke the Roman rules on scope, duration, and termination. Their dictatorships became personal rather than constitutional because the residual control that should have confined the office was captured by the officeholder. The lesson is structural: temporary dictatorship is democratically viable only to the extent that the meta-level rights that define the office are held by actors who are independent of the temporary officeholder.</w:t>
      </w:r>
    </w:p>
    <w:p>
      <w:pPr/>
      <w:r>
        <w:rPr>
          <w:b w:val="0"/>
          <w:i w:val="0"/>
        </w:rPr>
        <w:t>The PCD thought experiment preserves the Roman five-part structure but democratizes its source and hardens its residual controls. In a PCD the dictator would be selected by a popular trust election rather than by an elite appointment, so the source of the office would rest with the people rather than with the senate. The scope, duration, and termination would be specified in a written constitutional text, and residual control--interpretation of the bounds, enforcement of the expiration, and amendment of the arrangement--would be divided among independent courts, federal units, and the citizenry at large. That change matters because the Roman system ultimately depended on the senate's willingness to respect its own rules; a PCD design adds legal enforcement and separated powers to make termination less dependent on the forbearance of the same elite that benefits from delay.</w:t>
      </w:r>
    </w:p>
    <w:p>
      <w:pPr/>
      <w:r>
        <w:rPr>
          <w:b w:val="0"/>
          <w:i w:val="0"/>
        </w:rPr>
        <w:t>The PCD thought experiment thus differs from emergency dictatorship, which is triggered by crisis and often expands scope ex post; from autogolpe, in which an elected executive unilaterally abolishes limits; and from ordinary presidentialism, in which the same election simultaneously selects both representatives and a single executive. It also differs from proposals for a "strong state" or technocratic governance, which often concentrate object-level authority without creating a separate meta-level authorization and termination mechanism. PCD is distinctive because it makes the delegation temporary, bounded, and subject to a separate popular authorization.</w:t>
      </w:r>
    </w:p>
    <w:p>
      <w:pPr/>
      <w:r>
        <w:rPr>
          <w:b w:val="0"/>
          <w:i w:val="0"/>
        </w:rPr>
        <w:t>The value of the thought experiment is diagnostic. By imagining the most extreme form of object-level concentration that still preserves meta-level control, we can ask more pointed questions about ordinary democracies. Does the existing system allow ordinary citizens to alter the meta-rules under which they live, or only the object-level policies within them? Are there mechanisms for periodic, bounded renewal that do not depend on war, revolution, or the election of a charismatic strongman? Do elections reward long-term trustworthy behavior, or do they reward short-term impression management? Where the answers are unfavorable, the risk of populist rupture is high whether or not a PCD is ever adopted.</w:t>
      </w:r>
    </w:p>
    <w:p>
      <w:pPr>
        <w:pStyle w:val="Heading1"/>
      </w:pPr>
      <w:r>
        <w:rPr>
          <w:b w:val="0"/>
          <w:i w:val="0"/>
        </w:rPr>
        <w:t>5. Social-Choice Motivation</w:t>
      </w:r>
    </w:p>
    <w:p>
      <w:pPr/>
      <w:r>
        <w:rPr>
          <w:b w:val="0"/>
          <w:i w:val="0"/>
        </w:rPr>
        <w:t>A common objection to any delegation of concentrated authority is that it abandons the democratic ideal of aggregating citizen preferences into collective choices. That ideal is formally challenged by Arrow's impossibility theorem (Arrow 1963), which shows that no social welfare function satisfying a small set of plausible conditions can consistently aggregate diverse preferences into a coherent ordering when there are three or more alternatives. The Gibbard-Satterthwaite theorem extends the result to strategic voting: any non-dictatorial voting procedure that selects from three or more outcomes is vulnerable to manipulation (Gibbard 1973; Satterthwaite 1975). These theorems do not prove that political dictatorship is unavoidable; they show that perfect, strategy-proof aggregation is impossible. The theorems are often read as a challenge to democratic optimism, but they are better read as a challenge to democratic formalism. They imply that any real democracy must rely on something beyond a perfectly fair vote: institutional filtering, agenda control, deliberation, or delegated expertise. The task is not to escape these mechanisms but to make them answerable to the people. In this light, Arrow's theorem is not a counsel of despair; it is a counsel of institutional design. It tells us that the aggregation problem is inescapable, but that the terms of aggregation can be chosen and contested. Deliberation, federalism, bicameralism, judicial review, and delegated expertise are all ways of structuring aggregation, and each can be more or less democratic depending on the control rights that surround it.</w:t>
      </w:r>
    </w:p>
    <w:p>
      <w:pPr/>
      <w:r>
        <w:rPr>
          <w:b w:val="0"/>
          <w:i w:val="0"/>
        </w:rPr>
        <w:t>The significance of the impossibility results for democratic theory is therefore motivational, not demonstrative. They establish that any collective decision procedure must make some delegation, some agenda control, some institutional filtering, or some strategic compromise. Aggregation cannot be the whole story. Once delegation is unavoidable, the democratic problem shifts from avoiding delegation to controlling it. The relevant question is not whether a polity delegates authority but which dimensions of authority it retains and which it transfers. The control-rights framework captures exactly that question.</w:t>
      </w:r>
    </w:p>
    <w:p>
      <w:pPr/>
      <w:r>
        <w:rPr>
          <w:b w:val="0"/>
          <w:i w:val="0"/>
        </w:rPr>
        <w:t>PCD is one stylized way of making the delegation problem visible. It asks what happens when the delegation of object-level authority is made explicit, time-limited, and surrounded by meta-level controls. The thought experiment does not derive from Arrow's theorem; the theorem merely motivates why delegation is not a deviation from democratic logic but a condition of any workable collective choice. If the impossibility theorems show that we cannot escape delegation, the control-rights framework shows how we might democratize it.</w:t>
      </w:r>
    </w:p>
    <w:p>
      <w:pPr>
        <w:pStyle w:val="Heading1"/>
      </w:pPr>
      <w:r>
        <w:rPr>
          <w:b w:val="0"/>
          <w:i w:val="0"/>
        </w:rPr>
        <w:t>6. Competing Hazards and the Constitutional Cycle</w:t>
      </w:r>
    </w:p>
    <w:p>
      <w:pPr/>
      <w:r>
        <w:rPr>
          <w:b w:val="0"/>
          <w:i w:val="0"/>
        </w:rPr>
        <w:t xml:space="preserve">The design of a PCD, or any system that periodically concentrates power, must balance two competing hazards. The first is institutional sclerosis. Olson (1982) argued that stable societies accumulate distributional coalitions whose narrow interests slow aggregate adaptation. Tsebelis (2002) showed how multiple veto players can block change even when a majority favors it. If ordinary democratic procedures become too encrusted with accumulated commitments and veto points, the polity loses the capacity for renewal. The second hazard is the abuse of concentrated power. A dictator, even one selected by a trust election, may use delegated authority to alter the meta-rules in his or her favor. The constitutional problem is a rule-selection problem of the kind familiar from constitutional political economy: rather than asking which institution is ideal, it asks which cycle length </w:t>
      </w:r>
      <m:oMath>
        <m:r>
          <m:rPr>
            <m:sty m:val="i"/>
          </m:rPr>
          <w:rPr>
            <w:rFonts w:ascii="Times New Roman" w:hAnsi="Times New Roman" w:cs="Times New Roman" w:eastAsia="Times New Roman"/>
          </w:rPr>
          <m:t>T</m:t>
        </m:r>
      </m:oMath>
      <w:r>
        <w:rPr>
          <w:b w:val="0"/>
          <w:i w:val="0"/>
        </w:rPr>
        <w:t xml:space="preserve"> minimizes the expected loss from two distinct institutional failure risks, </w:t>
      </w:r>
      <m:oMath>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T</m:t>
            </m:r>
          </m:sub>
        </m:sSub>
        <m:r>
          <m:rPr>
            <m:sty m:val="i"/>
          </m:rPr>
          <w:rPr>
            <w:rFonts w:ascii="Times New Roman" w:hAnsi="Times New Roman" w:cs="Times New Roman" w:eastAsia="Times New Roman"/>
          </w:rPr>
          <m:t>L</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oMath>
      <w:r>
        <w:rPr>
          <w:b w:val="0"/>
          <w:i w:val="0"/>
        </w:rPr>
        <w:t>. Both risks are present under any rule; the constitutional choice is about their relative weight.</w:t>
      </w:r>
    </w:p>
    <w:p>
      <w:pPr/>
      <w:r>
        <w:rPr>
          <w:b w:val="0"/>
          <w:i w:val="0"/>
        </w:rPr>
        <w:t>The loss function can be written as</w:t>
      </w:r>
    </w:p>
    <w:p>
      <w:pPr>
        <w:spacing w:before="120" w:after="120"/>
        <w:jc w:val="center"/>
      </w:pPr>
      <m:oMath>
        <m:r>
          <m:rPr>
            <m:sty m:val="i"/>
          </m:rPr>
          <w:rPr>
            <w:rFonts w:ascii="Times New Roman" w:hAnsi="Times New Roman" w:cs="Times New Roman" w:eastAsia="Times New Roman"/>
          </w:rPr>
          <m:t>L</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A</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Sup>
          <m:e>
            <m:r>
              <m:rPr>
                <m:sty m:val="p"/>
              </m:rPr>
              <w:rPr>
                <w:rFonts w:ascii="Times New Roman" w:hAnsi="Times New Roman" w:cs="Times New Roman" w:eastAsia="Times New Roman"/>
              </w:rPr>
              <m:t>)</m:t>
            </m:r>
          </m:e>
          <m:sup>
            <m:r>
              <m:rPr>
                <m:sty m:val="i"/>
              </m:rPr>
              <w:rPr>
                <w:rFonts w:ascii="Times New Roman" w:hAnsi="Times New Roman" w:cs="Times New Roman" w:eastAsia="Times New Roman"/>
              </w:rPr>
              <m:t>α</m:t>
            </m:r>
          </m:sup>
        </m:sSup>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r>
              <m:rPr>
                <m:sty m:val="i"/>
              </m:rPr>
              <w:rPr>
                <w:rFonts w:ascii="Times New Roman" w:hAnsi="Times New Roman" w:cs="Times New Roman" w:eastAsia="Times New Roman"/>
              </w:rPr>
              <m:t>B</m:t>
            </m:r>
          </m:num>
          <m:den>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Sup>
              <m:e>
                <m:r>
                  <m:rPr>
                    <m:sty m:val="p"/>
                  </m:rPr>
                  <w:rPr>
                    <w:rFonts w:ascii="Times New Roman" w:hAnsi="Times New Roman" w:cs="Times New Roman" w:eastAsia="Times New Roman"/>
                  </w:rPr>
                  <m:t>)</m:t>
                </m:r>
              </m:e>
              <m:sup>
                <m:r>
                  <m:rPr>
                    <m:sty m:val="i"/>
                  </m:rPr>
                  <w:rPr>
                    <w:rFonts w:ascii="Times New Roman" w:hAnsi="Times New Roman" w:cs="Times New Roman" w:eastAsia="Times New Roman"/>
                  </w:rPr>
                  <m:t>β</m:t>
                </m:r>
              </m:sup>
            </m:sSup>
          </m:den>
        </m:f>
        <m:r>
          <m:rPr>
            <m:sty m:val="p"/>
          </m:rPr>
          <w:rPr>
            <w:rFonts w:ascii="Times New Roman" w:hAnsi="Times New Roman" w:cs="Times New Roman" w:eastAsia="Times New Roman"/>
          </w:rPr>
          <m:t>+</m:t>
        </m:r>
        <m:r>
          <m:rPr>
            <m:sty m:val="i"/>
          </m:rPr>
          <w:rPr>
            <w:rFonts w:ascii="Times New Roman" w:hAnsi="Times New Roman" w:cs="Times New Roman" w:eastAsia="Times New Roman"/>
          </w:rPr>
          <m:t>C</m:t>
        </m:r>
      </m:oMath>
    </w:p>
    <w:p>
      <w:pPr/>
      <w:r>
        <w:rPr>
          <w:b w:val="0"/>
          <w:i w:val="0"/>
        </w:rPr>
        <w:t xml:space="preserve">where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&gt;</m:t>
        </m:r>
        <m:r>
          <m:rPr>
            <m:sty m:val="p"/>
          </m:rPr>
          <w:rPr>
            <w:rFonts w:ascii="Times New Roman" w:hAnsi="Times New Roman" w:cs="Times New Roman" w:eastAsia="Times New Roman"/>
          </w:rPr>
          <m:t>1</m:t>
        </m:r>
      </m:oMath>
      <w:r>
        <w:rPr>
          <w:b w:val="0"/>
          <w:i w:val="0"/>
        </w:rPr>
        <w:t xml:space="preserve"> is the length of the constitutional cycle, </w:t>
      </w:r>
      <m:oMath>
        <m:r>
          <m:rPr>
            <m:sty m:val="i"/>
          </m:rPr>
          <w:rPr>
            <w:rFonts w:ascii="Times New Roman" w:hAnsi="Times New Roman" w:cs="Times New Roman" w:eastAsia="Times New Roman"/>
          </w:rPr>
          <m:t>A</m:t>
        </m:r>
      </m:oMath>
      <w:r>
        <w:rPr>
          <w:b w:val="0"/>
          <w:i w:val="0"/>
        </w:rPr>
        <w:t xml:space="preserve"> and </w:t>
      </w:r>
      <m:oMath>
        <m:r>
          <m:rPr>
            <m:sty m:val="i"/>
          </m:rPr>
          <w:rPr>
            <w:rFonts w:ascii="Times New Roman" w:hAnsi="Times New Roman" w:cs="Times New Roman" w:eastAsia="Times New Roman"/>
          </w:rPr>
          <m:t>α</m:t>
        </m:r>
      </m:oMath>
      <w:r>
        <w:rPr>
          <w:b w:val="0"/>
          <w:i w:val="0"/>
        </w:rPr>
        <w:t xml:space="preserve"> capture the cost of sclerosis as the cycle lengthens, </w:t>
      </w:r>
      <m:oMath>
        <m:r>
          <m:rPr>
            <m:sty m:val="i"/>
          </m:rPr>
          <w:rPr>
            <w:rFonts w:ascii="Times New Roman" w:hAnsi="Times New Roman" w:cs="Times New Roman" w:eastAsia="Times New Roman"/>
          </w:rPr>
          <m:t>B</m:t>
        </m:r>
      </m:oMath>
      <w:r>
        <w:rPr>
          <w:b w:val="0"/>
          <w:i w:val="0"/>
        </w:rPr>
        <w:t xml:space="preserve"> and </w:t>
      </w:r>
      <m:oMath>
        <m:r>
          <m:rPr>
            <m:sty m:val="i"/>
          </m:rPr>
          <w:rPr>
            <w:rFonts w:ascii="Times New Roman" w:hAnsi="Times New Roman" w:cs="Times New Roman" w:eastAsia="Times New Roman"/>
          </w:rPr>
          <m:t>β</m:t>
        </m:r>
      </m:oMath>
      <w:r>
        <w:rPr>
          <w:b w:val="0"/>
          <w:i w:val="0"/>
        </w:rPr>
        <w:t xml:space="preserve"> capture the hazard of abuse as power remains concentrated, and </w:t>
      </w:r>
      <m:oMath>
        <m:r>
          <m:rPr>
            <m:sty m:val="i"/>
          </m:rPr>
          <w:rPr>
            <w:rFonts w:ascii="Times New Roman" w:hAnsi="Times New Roman" w:cs="Times New Roman" w:eastAsia="Times New Roman"/>
          </w:rPr>
          <m:t>C</m:t>
        </m:r>
      </m:oMath>
      <w:r>
        <w:rPr>
          <w:b w:val="0"/>
          <w:i w:val="0"/>
        </w:rPr>
        <w:t xml:space="preserve"> is a baseline cost. The first term increases with </w:t>
      </w:r>
      <m:oMath>
        <m:r>
          <m:rPr>
            <m:sty m:val="i"/>
          </m:rPr>
          <w:rPr>
            <w:rFonts w:ascii="Times New Roman" w:hAnsi="Times New Roman" w:cs="Times New Roman" w:eastAsia="Times New Roman"/>
          </w:rPr>
          <m:t>T</m:t>
        </m:r>
      </m:oMath>
      <w:r>
        <w:rPr>
          <w:b w:val="0"/>
          <w:i w:val="0"/>
        </w:rPr>
        <w:t xml:space="preserve">; the second decreases with </w:t>
      </w:r>
      <m:oMath>
        <m:r>
          <m:rPr>
            <m:sty m:val="i"/>
          </m:rPr>
          <w:rPr>
            <w:rFonts w:ascii="Times New Roman" w:hAnsi="Times New Roman" w:cs="Times New Roman" w:eastAsia="Times New Roman"/>
          </w:rPr>
          <m:t>T</m:t>
        </m:r>
      </m:oMath>
      <w:r>
        <w:rPr>
          <w:b w:val="0"/>
          <w:i w:val="0"/>
        </w:rPr>
        <w:t>. The continuous first-order optimum is</w:t>
      </w:r>
    </w:p>
    <w:p>
      <w:pPr>
        <w:spacing w:before="120" w:after="120"/>
        <w:jc w:val="center"/>
      </w:pPr>
      <m:oMath>
        <m:sSup>
          <m:e>
            <m:r>
              <m:rPr>
                <m:sty m:val="i"/>
              </m:rPr>
              <w:rPr>
                <w:rFonts w:ascii="Times New Roman" w:hAnsi="Times New Roman" w:cs="Times New Roman" w:eastAsia="Times New Roman"/>
              </w:rPr>
              <m:t>T</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r>
                  <m:rPr>
                    <m:sty m:val="i"/>
                  </m:rPr>
                  <w:rPr>
                    <w:rFonts w:ascii="Times New Roman" w:hAnsi="Times New Roman" w:cs="Times New Roman" w:eastAsia="Times New Roman"/>
                  </w:rPr>
                  <m:t>B</m:t>
                </m:r>
                <m:r>
                  <m:rPr>
                    <m:sty m:val="i"/>
                  </m:rPr>
                  <w:rPr>
                    <w:rFonts w:ascii="Times New Roman" w:hAnsi="Times New Roman" w:cs="Times New Roman" w:eastAsia="Times New Roman"/>
                  </w:rPr>
                  <m:t>β</m:t>
                </m:r>
              </m:num>
              <m:den>
                <m:r>
                  <m:rPr>
                    <m:sty m:val="i"/>
                  </m:rPr>
                  <w:rPr>
                    <w:rFonts w:ascii="Times New Roman" w:hAnsi="Times New Roman" w:cs="Times New Roman" w:eastAsia="Times New Roman"/>
                  </w:rPr>
                  <m:t>A</m:t>
                </m:r>
                <m:r>
                  <m:rPr>
                    <m:sty m:val="i"/>
                  </m:rPr>
                  <w:rPr>
                    <w:rFonts w:ascii="Times New Roman" w:hAnsi="Times New Roman" w:cs="Times New Roman" w:eastAsia="Times New Roman"/>
                  </w:rPr>
                  <m:t>α</m:t>
                </m:r>
              </m:den>
            </m:f>
            <m:r>
              <m:rPr>
                <m:sty m:val="p"/>
              </m:rPr>
              <w:rPr>
                <w:rFonts w:ascii="Times New Roman" w:hAnsi="Times New Roman" w:cs="Times New Roman" w:eastAsia="Times New Roman"/>
              </w:rPr>
              <m:t>)</m:t>
            </m:r>
          </m:e>
          <m:sup>
            <m:f>
              <m:fPr>
                <m:ctrlPr>
                  <w:rPr>
                    <w:rFonts w:ascii="Times New Roman" w:hAnsi="Times New Roman" w:cs="Times New Roman" w:eastAsia="Times New Roman"/>
                  </w:rPr>
                </m:ctrlPr>
              </m:fPr>
              <m:num>
                <m:r>
                  <m:rPr>
                    <m:sty m:val="p"/>
                  </m:rPr>
                  <w:rPr>
                    <w:rFonts w:ascii="Times New Roman" w:hAnsi="Times New Roman" w:cs="Times New Roman" w:eastAsia="Times New Roman"/>
                  </w:rPr>
                  <m:t>1</m:t>
                </m:r>
              </m:num>
              <m:den>
                <m:r>
                  <m:rPr>
                    <m:sty m:val="i"/>
                  </m:rPr>
                  <w:rPr>
                    <w:rFonts w:ascii="Times New Roman" w:hAnsi="Times New Roman" w:cs="Times New Roman" w:eastAsia="Times New Roman"/>
                  </w:rPr>
                  <m:t>α</m:t>
                </m:r>
                <m:r>
                  <m:rPr>
                    <m:sty m:val="p"/>
                  </m:rPr>
                  <w:rPr>
                    <w:rFonts w:ascii="Times New Roman" w:hAnsi="Times New Roman" w:cs="Times New Roman" w:eastAsia="Times New Roman"/>
                  </w:rPr>
                  <m:t>+</m:t>
                </m:r>
                <m:r>
                  <m:rPr>
                    <m:sty m:val="i"/>
                  </m:rPr>
                  <w:rPr>
                    <w:rFonts w:ascii="Times New Roman" w:hAnsi="Times New Roman" w:cs="Times New Roman" w:eastAsia="Times New Roman"/>
                  </w:rPr>
                  <m:t>β</m:t>
                </m:r>
              </m:den>
            </m:f>
          </m:sup>
        </m:sSup>
        <m:r>
          <m:rPr>
            <m:sty m:val="p"/>
          </m:rPr>
          <w:rPr>
            <w:rFonts w:ascii="Times New Roman" w:hAnsi="Times New Roman" w:cs="Times New Roman" w:eastAsia="Times New Roman"/>
          </w:rPr>
          <m:t>.</m:t>
        </m:r>
      </m:oMath>
    </w:p>
    <w:p>
      <w:pPr/>
      <w:r>
        <w:rPr>
          <w:b w:val="0"/>
          <w:i w:val="0"/>
        </w:rPr>
        <w:t xml:space="preserve">The exact value of </w:t>
      </w:r>
      <m:oMath>
        <m:sSup>
          <m:e>
            <m:r>
              <m:rPr>
                <m:sty m:val="i"/>
              </m:rPr>
              <w:rPr>
                <w:rFonts w:ascii="Times New Roman" w:hAnsi="Times New Roman" w:cs="Times New Roman" w:eastAsia="Times New Roman"/>
              </w:rPr>
              <m:t>T</m:t>
            </m:r>
          </m:e>
          <m:sup>
            <m:r>
              <m:rPr>
                <m:sty m:val="p"/>
              </m:rPr>
              <w:rPr>
                <w:rFonts w:ascii="Times New Roman" w:hAnsi="Times New Roman" w:cs="Times New Roman" w:eastAsia="Times New Roman"/>
              </w:rPr>
              <m:t>*</m:t>
            </m:r>
          </m:sup>
        </m:sSup>
      </m:oMath>
      <w:r>
        <w:rPr>
          <w:b w:val="0"/>
          <w:i w:val="0"/>
        </w:rPr>
        <w:t xml:space="preserve"> is less important than the qualitative structure: the loss is unimodal, with a single interior minimum, and it is steeper to the left of the optimum than to the right. This asymmetry has constitutional significance. A cycle that is too short fails to cut sclerosis; a cycle that is too long risks dictatorship. Because the loss rises more sharply on the short-cycle side, constitutional designers have more room for error on the long-cycle side. They should err toward longer, not shorter, intervals between renewals, provided the other control rights are strong enough to enforce termination at the end of the interval. Erring on the side of a longer cycle is therefore less costly than erring on the side of a shorter one, a feature that favors a generous but bounded duration. Figure 1 illustrates the shape of </w:t>
      </w:r>
      <m:oMath>
        <m:r>
          <m:rPr>
            <m:sty m:val="i"/>
          </m:rPr>
          <w:rPr>
            <w:rFonts w:ascii="Times New Roman" w:hAnsi="Times New Roman" w:cs="Times New Roman" w:eastAsia="Times New Roman"/>
          </w:rPr>
          <m:t>L</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oMath>
      <w:r>
        <w:rPr>
          <w:b w:val="0"/>
          <w:i w:val="0"/>
        </w:rPr>
        <w:t xml:space="preserve"> for an illustrative parameter set and confirms that the function has a single global minimum over 200 random parameter draws.</w:t>
      </w:r>
    </w:p>
    <w:p>
      <w:pPr>
        <w:jc w:val="center"/>
      </w:pPr>
      <w:r>
        <w:drawing>
          <wp:inline xmlns:a="http://schemas.openxmlformats.org/drawingml/2006/main" xmlns:pic="http://schemas.openxmlformats.org/drawingml/2006/picture">
            <wp:extent cx="5029200" cy="1989404"/>
            <wp:docPr id="1" name="Picture 1"/>
            <wp:cNvGraphicFramePr>
              <a:graphicFrameLocks noChangeAspect="1"/>
            </wp:cNvGraphicFramePr>
            <a:graphic>
              <a:graphicData uri="http://schemas.openxmlformats.org/drawingml/2006/picture">
                <pic:pic>
                  <pic:nvPicPr>
                    <pic:cNvPr id="0" name="simulation_p1_en.png"/>
                    <pic:cNvPicPr/>
                  </pic:nvPicPr>
                  <pic:blipFill>
                    <a:blip r:embed="rId9"/>
                    <a:stretch>
                      <a:fillRect/>
                    </a:stretch>
                  </pic:blipFill>
                  <pic:spPr>
                    <a:xfrm>
                      <a:off x="0" y="0"/>
                      <a:ext cx="5029200" cy="1989404"/>
                    </a:xfrm>
                    <a:prstGeom prst="rect"/>
                  </pic:spPr>
                </pic:pic>
              </a:graphicData>
            </a:graphic>
          </wp:inline>
        </w:drawing>
      </w:r>
    </w:p>
    <w:p>
      <w:pPr>
        <w:spacing w:before="240"/>
        <w:jc w:val="center"/>
      </w:pPr>
      <w:r>
        <w:rPr>
          <w:b w:val="0"/>
          <w:i w:val="0"/>
        </w:rPr>
        <w:t xml:space="preserve">Figure 1. Unimodality of the constitutional-cycle loss function </w:t>
      </w:r>
      <m:oMath>
        <m:r>
          <m:rPr>
            <m:sty m:val="i"/>
          </m:rPr>
          <w:rPr>
            <w:rFonts w:ascii="Times New Roman" w:hAnsi="Times New Roman" w:cs="Times New Roman" w:eastAsia="Times New Roman"/>
          </w:rPr>
          <m:t>L</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oMath>
      <w:r>
        <w:rPr>
          <w:b w:val="0"/>
          <w:i w:val="0"/>
        </w:rPr>
        <w:t xml:space="preserve">. Left panel: detail near the optimum for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2</m:t>
        </m:r>
      </m:oMath>
      <w:r>
        <w:rPr>
          <w:b w:val="0"/>
          <w:i w:val="0"/>
        </w:rPr>
        <w:t xml:space="preserve"> to </w:t>
      </w:r>
      <m:oMath>
        <m:r>
          <m:rPr>
            <m:sty m:val="p"/>
          </m:rPr>
          <w:rPr>
            <w:rFonts w:ascii="Times New Roman" w:hAnsi="Times New Roman" w:cs="Times New Roman" w:eastAsia="Times New Roman"/>
          </w:rPr>
          <m:t>50</m:t>
        </m:r>
      </m:oMath>
      <w:r>
        <w:rPr>
          <w:b w:val="0"/>
          <w:i w:val="0"/>
        </w:rPr>
        <w:t xml:space="preserve">. Right panel: the same function over the full range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2</m:t>
        </m:r>
      </m:oMath>
      <w:r>
        <w:rPr>
          <w:b w:val="0"/>
          <w:i w:val="0"/>
        </w:rPr>
        <w:t xml:space="preserve"> to </w:t>
      </w:r>
      <m:oMath>
        <m:r>
          <m:rPr>
            <m:sty m:val="p"/>
          </m:rPr>
          <w:rPr>
            <w:rFonts w:ascii="Times New Roman" w:hAnsi="Times New Roman" w:cs="Times New Roman" w:eastAsia="Times New Roman"/>
          </w:rPr>
          <m:t>200</m:t>
        </m:r>
      </m:oMath>
      <w:r>
        <w:rPr>
          <w:b w:val="0"/>
          <w:i w:val="0"/>
        </w:rPr>
        <w:t xml:space="preserve">. The analytical optimum </w:t>
      </w:r>
      <m:oMath>
        <m:sSup>
          <m:e>
            <m:r>
              <m:rPr>
                <m:sty m:val="i"/>
              </m:rPr>
              <w:rPr>
                <w:rFonts w:ascii="Times New Roman" w:hAnsi="Times New Roman" w:cs="Times New Roman" w:eastAsia="Times New Roman"/>
              </w:rPr>
              <m:t>T</m:t>
            </m:r>
          </m:e>
          <m:sup>
            <m:r>
              <m:rPr>
                <m:sty m:val="p"/>
              </m:rPr>
              <w:rPr>
                <w:rFonts w:ascii="Times New Roman" w:hAnsi="Times New Roman" w:cs="Times New Roman" w:eastAsia="Times New Roman"/>
              </w:rPr>
              <m:t>*</m:t>
            </m:r>
          </m:sup>
        </m:sSup>
      </m:oMath>
      <w:r>
        <w:rPr>
          <w:b w:val="0"/>
          <w:i w:val="0"/>
        </w:rPr>
        <w:t xml:space="preserve"> and the integer global minimum are indicated for an illustrative parameter set. The function is unimodal over 200 random parameter draws and is steeper to the left of the optimum, so erring on the side of a longer cycle is less costly.</w:t>
      </w:r>
    </w:p>
    <w:p>
      <w:pPr/>
      <w:r>
        <w:rPr>
          <w:b w:val="0"/>
          <w:i w:val="0"/>
        </w:rPr>
        <w:t xml:space="preserve">The formal result supports a more general intuition. Democracies need periodic renewal, but renewal that is too frequent becomes constant campaigning; renewal that is too rare becomes a captured regime. The trade-off is a constitutional-stage choice in the sense of Brennan and Buchanan (1985): the cycle is chosen once, behind a veil of uncertainty about who will hold the office, and it then governs many post-constitutional periods. The constitutional cycle is the mechanism that trades off these two hazards. PCD is not the only such mechanism; constitutional conventions, major reforms, and, as history shows, wars and revolutions have also served as renewals. The formal model is intentionally stylized. It does not capture the full complexity of party competition, media environments, or voter cognition. Its purpose is to clarify the logic of the trade-off and to identify the conditions under which a PCD cycle could improve on the status quo. A calibrated version would require better data on sclerosis and abuse hazards, but the qualitative conclusion--that democracies face a constitutional-cycle problem--is robust to a wide range of parameter values. The model also suggests that the optimal cycle may change as a polity ages. A young democracy may face high sclerosis because it has inherited few commitments; an old democracy may face high sclerosis because commitments have accumulated. The parameters </w:t>
      </w:r>
      <m:oMath>
        <m:r>
          <m:rPr>
            <m:sty m:val="i"/>
          </m:rPr>
          <w:rPr>
            <w:rFonts w:ascii="Times New Roman" w:hAnsi="Times New Roman" w:cs="Times New Roman" w:eastAsia="Times New Roman"/>
          </w:rPr>
          <m:t>A</m:t>
        </m:r>
      </m:oMath>
      <w:r>
        <w:rPr>
          <w:b w:val="0"/>
          <w:i w:val="0"/>
        </w:rPr>
        <w:t xml:space="preserve"> and </w:t>
      </w:r>
      <m:oMath>
        <m:r>
          <m:rPr>
            <m:sty m:val="i"/>
          </m:rPr>
          <w:rPr>
            <w:rFonts w:ascii="Times New Roman" w:hAnsi="Times New Roman" w:cs="Times New Roman" w:eastAsia="Times New Roman"/>
          </w:rPr>
          <m:t>B</m:t>
        </m:r>
      </m:oMath>
      <w:r>
        <w:rPr>
          <w:b w:val="0"/>
          <w:i w:val="0"/>
        </w:rPr>
        <w:t xml:space="preserve"> are therefore not constants; they are functions of the historical trajectory of the regime. A dynamic version of the model would allow </w:t>
      </w:r>
      <m:oMath>
        <m:sSup>
          <m:e>
            <m:r>
              <m:rPr>
                <m:sty m:val="i"/>
              </m:rPr>
              <w:rPr>
                <w:rFonts w:ascii="Times New Roman" w:hAnsi="Times New Roman" w:cs="Times New Roman" w:eastAsia="Times New Roman"/>
              </w:rPr>
              <m:t>T</m:t>
            </m:r>
          </m:e>
          <m:sup>
            <m:r>
              <m:rPr>
                <m:sty m:val="p"/>
              </m:rPr>
              <w:rPr>
                <w:rFonts w:ascii="Times New Roman" w:hAnsi="Times New Roman" w:cs="Times New Roman" w:eastAsia="Times New Roman"/>
              </w:rPr>
              <m:t>*</m:t>
            </m:r>
          </m:sup>
        </m:sSup>
      </m:oMath>
      <w:r>
        <w:rPr>
          <w:b w:val="0"/>
          <w:i w:val="0"/>
        </w:rPr>
        <w:t xml:space="preserve"> to evolve over time.</w:t>
      </w:r>
    </w:p>
    <w:p>
      <w:pPr>
        <w:pStyle w:val="Heading1"/>
      </w:pPr>
      <w:r>
        <w:rPr>
          <w:b w:val="0"/>
          <w:i w:val="0"/>
        </w:rPr>
        <w:t>7. Intertemporal Constitutional Incentives</w:t>
      </w:r>
    </w:p>
    <w:p>
      <w:pPr/>
      <w:r>
        <w:rPr>
          <w:b w:val="0"/>
          <w:i w:val="0"/>
        </w:rPr>
        <w:t>The second institutional mechanism concerns the effect of a rare, high-value selection event on ordinary-period behavior. Whereas Section 6 treated the constitutional cycle as a rule chosen to minimize expected loss, this section asks how the existence of such a rule changes incentives within ordinary post-constitutional politics. Fearon (1999) argued that elections can control politicians either by sanctioning poor performance or by selecting desirable types. Most democratic theory has emphasized sanctioning: citizens observe outcomes and punish failure at the next election. But selection also operates, and it operates most powerfully when the stakes of selection are high and the shadow of the future is long. Mansbridge (2003) called this the selection model of representation: voters choose representatives whose character or judgment they trust, not merely whose promises they prefer. A trust election is a selection event of exactly this kind.</w:t>
      </w:r>
    </w:p>
    <w:p>
      <w:pPr/>
      <w:r>
        <w:rPr>
          <w:b w:val="0"/>
          <w:i w:val="0"/>
        </w:rPr>
        <w:t>The trust-election mechanism can be formalized as an intertemporal accountability game. In ordinary periods, parties or officials choose whether to act in the public will or to pursue short-term self-interest. The payoff for self-serving behavior is immediate and certain; the payoff for public-will alignment is delayed and depends on reputation. The introduction of a periodic, high-value trust election changes the expected future payoff of reputation. If the value of winning the trust election is sufficiently large, the long-term incentive to build a trustworthy record can outweigh the short-term temptation to defect.</w:t>
      </w:r>
    </w:p>
    <w:p>
      <w:pPr/>
      <w:r>
        <w:rPr>
          <w:b w:val="0"/>
          <w:i w:val="0"/>
        </w:rPr>
        <w:t xml:space="preserve">The dynamic can be represented by a Moran process with mutation, in which agents are either aligned with the public will (G) or self-serving (B). In each ordinary cycle, agents are selected to reproduce according to their payoffs, with a small probability of random switching. The key parameter is </w:t>
      </w:r>
      <m:oMath>
        <m:r>
          <m:rPr>
            <m:sty m:val="i"/>
          </m:rPr>
          <w:rPr>
            <w:rFonts w:ascii="Times New Roman" w:hAnsi="Times New Roman" w:cs="Times New Roman" w:eastAsia="Times New Roman"/>
          </w:rPr>
          <m:t>λ</m:t>
        </m:r>
      </m:oMath>
      <w:r>
        <w:rPr>
          <w:b w:val="0"/>
          <w:i w:val="0"/>
        </w:rPr>
        <w:t xml:space="preserve">, the relative weight of the trust-election bonus. When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i w:val="0"/>
        </w:rPr>
        <w:t xml:space="preserve">, there is no trust election and the population drifts toward self-serving behavior, because the short-term payoff of defection dominates. When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oMath>
      <w:r>
        <w:rPr>
          <w:b w:val="0"/>
          <w:i w:val="0"/>
        </w:rPr>
        <w:t xml:space="preserve">, the premium attached to the rare trust election is large enough to sustain public-will alignment over the long run. For an illustrative parameter set with a fixed random seed, the mean final public-will alignment is 0.014 when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i w:val="0"/>
        </w:rPr>
        <w:t xml:space="preserve"> and 0.917 when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oMath>
      <w:r>
        <w:rPr>
          <w:b w:val="0"/>
          <w:i w:val="0"/>
        </w:rPr>
        <w:t xml:space="preserve">; the probability that the final alignment exceeds 0.8 is 0.00 when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i w:val="0"/>
        </w:rPr>
        <w:t xml:space="preserve"> and 0.82 when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oMath>
      <w:r>
        <w:rPr>
          <w:b w:val="0"/>
          <w:i w:val="0"/>
        </w:rPr>
        <w:t>.</w:t>
      </w:r>
    </w:p>
    <w:p>
      <w:pPr/>
      <w:r>
        <w:rPr>
          <w:b w:val="0"/>
          <w:i w:val="0"/>
        </w:rPr>
        <w:t xml:space="preserve">It may seem that the result is trivial because both the trust-election bonus and the outcome are expressed in terms of public-will alignment. They are not the same thing. The parameter </w:t>
      </w:r>
      <m:oMath>
        <m:r>
          <m:rPr>
            <m:sty m:val="i"/>
          </m:rPr>
          <w:rPr>
            <w:rFonts w:ascii="Times New Roman" w:hAnsi="Times New Roman" w:cs="Times New Roman" w:eastAsia="Times New Roman"/>
          </w:rPr>
          <m:t>λ</m:t>
        </m:r>
      </m:oMath>
      <w:r>
        <w:rPr>
          <w:b w:val="0"/>
          <w:i w:val="0"/>
        </w:rPr>
        <w:t xml:space="preserve"> is the relative weight attached to a future selection event; it is not a direct reward for the public-will measure. Agents with a short-term payoff advantage still reproduce unless the long-term reputation effect is strong enough to outweigh the immediate gain. Because the process is stochastic and the short-term payoff term opposes alignment, the simulation does not mechanically produce high alignment; it produces a threshold effect. Below a critical value of </w:t>
      </w:r>
      <m:oMath>
        <m:r>
          <m:rPr>
            <m:sty m:val="i"/>
          </m:rPr>
          <w:rPr>
            <w:rFonts w:ascii="Times New Roman" w:hAnsi="Times New Roman" w:cs="Times New Roman" w:eastAsia="Times New Roman"/>
          </w:rPr>
          <m:t>λ</m:t>
        </m:r>
      </m:oMath>
      <w:r>
        <w:rPr>
          <w:b w:val="0"/>
          <w:i w:val="0"/>
        </w:rPr>
        <w:t xml:space="preserve"> the population collapses to self-serving behavior; above it the shadow of the future dominates. The non-trivial finding is the location and steepness of that transition, not the sign of the long-run effect. The numbers are illustrative, not predictive. They are meant to show that the intertemporal mechanism can, under plausible conditions, produce a large difference in long-run alignment. The precise thresholds would depend on the actual payoffs of office, the frequency of the trust election, the noise in voter judgment, and the organizational capacity of parties to build reputations. The model also abstracts from partisan alignment and policy disagreement. In a more realistic setting, the identity of the public will is itself contested, and different groups may disagree about what counts as public-will alignment. Extending the model to include competing conceptions of the public good would move it closer to a genuine theory of intertemporal democratic choice. It would also reveal whether the mechanism survives polarization or whether polarization makes trust elections more likely to be captured by a single tribe. The thought experiment assumes a shared standard of public interest in order to isolate the incentive effects of the trust election; extending the model to include pluralism and disagreement is a natural next step. Figure 2 shows the trajectories and final distributions.</w:t>
      </w:r>
    </w:p>
    <w:p>
      <w:pPr>
        <w:jc w:val="center"/>
      </w:pPr>
      <w:r>
        <w:drawing>
          <wp:inline xmlns:a="http://schemas.openxmlformats.org/drawingml/2006/main" xmlns:pic="http://schemas.openxmlformats.org/drawingml/2006/picture">
            <wp:extent cx="5029200" cy="1778713"/>
            <wp:docPr id="2" name="Picture 2"/>
            <wp:cNvGraphicFramePr>
              <a:graphicFrameLocks noChangeAspect="1"/>
            </wp:cNvGraphicFramePr>
            <a:graphic>
              <a:graphicData uri="http://schemas.openxmlformats.org/drawingml/2006/picture">
                <pic:pic>
                  <pic:nvPicPr>
                    <pic:cNvPr id="0" name="simulation_p2_en.png"/>
                    <pic:cNvPicPr/>
                  </pic:nvPicPr>
                  <pic:blipFill>
                    <a:blip r:embed="rId10"/>
                    <a:stretch>
                      <a:fillRect/>
                    </a:stretch>
                  </pic:blipFill>
                  <pic:spPr>
                    <a:xfrm>
                      <a:off x="0" y="0"/>
                      <a:ext cx="5029200" cy="1778713"/>
                    </a:xfrm>
                    <a:prstGeom prst="rect"/>
                  </pic:spPr>
                </pic:pic>
              </a:graphicData>
            </a:graphic>
          </wp:inline>
        </w:drawing>
      </w:r>
    </w:p>
    <w:p>
      <w:pPr>
        <w:spacing w:before="240"/>
        <w:jc w:val="center"/>
      </w:pPr>
      <w:r>
        <w:rPr>
          <w:b w:val="0"/>
          <w:i w:val="0"/>
        </w:rPr>
        <w:t>Figure 2. Intertemporal accountability mechanism. Left: without a trust election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i w:val="0"/>
        </w:rPr>
        <w:t>) public-will alignment collapses. Right: with a periodic high-value trust election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oMath>
      <w:r>
        <w:rPr>
          <w:b w:val="0"/>
          <w:i w:val="0"/>
        </w:rPr>
        <w:t xml:space="preserve">) the population converges distributionally to high public-will alignment (illustrative parameter set; log scale). The parameter </w:t>
      </w:r>
      <m:oMath>
        <m:r>
          <m:rPr>
            <m:sty m:val="i"/>
          </m:rPr>
          <w:rPr>
            <w:rFonts w:ascii="Times New Roman" w:hAnsi="Times New Roman" w:cs="Times New Roman" w:eastAsia="Times New Roman"/>
          </w:rPr>
          <m:t>λ</m:t>
        </m:r>
      </m:oMath>
      <w:r>
        <w:rPr>
          <w:b w:val="0"/>
          <w:i w:val="0"/>
        </w:rPr>
        <w:t xml:space="preserve"> is the weight of a future selection event, not a direct reward for the public-will outcome, so the result is a stochastic threshold rather than a mechanical identity.</w:t>
      </w:r>
    </w:p>
    <w:p>
      <w:pPr/>
      <w:r>
        <w:rPr>
          <w:b w:val="0"/>
          <w:i w:val="0"/>
        </w:rPr>
        <w:t>The mechanism is general, not peculiar to PCD. Any rare, high-value political selection event that lengthens the shadow of the future can alter behavior in ordinary periods. The rarity of the event is crucial: if it occurs too often, it becomes part of ordinary politics and loses its reputation-forcing power; if it occurs too rarely, it becomes irrelevant to short-term calculations. The value of the event is equally crucial: it must be large enough to outweigh the immediate benefits of defection. Constitutional designers who wish to harness intertemporal accountability must therefore pay attention to both the frequency and the stakes of the selection event. A trust election that selects a temporary dictator is one way to make the event both rare and valuable; other institutions, such as a decennial constitutional convention or a high-stakes reform referendum, may create similar incentives without concentrating object-level authority. The key design principle is to create a selection event whose long-term reputation consequences are large enough to discipline behavior in ordinary periods. PCD is one institutional implementation of this more general mechanism. The simulation is therefore best understood as a proof of concept for the intertemporal accountability mechanism, not as a calibrated prediction that a dictator would be benevolent. Its purpose is to show that the presence of a trust election can, under plausible conditions, sustain higher levels of public-will alignment than ordinary elections alone.</w:t>
      </w:r>
    </w:p>
    <w:p>
      <w:pPr>
        <w:pStyle w:val="Heading1"/>
      </w:pPr>
      <w:r>
        <w:rPr>
          <w:b w:val="0"/>
          <w:i w:val="0"/>
        </w:rPr>
        <w:t>8. Institutional Safeguards and Comparative Implications</w:t>
      </w:r>
    </w:p>
    <w:p>
      <w:pPr/>
      <w:r>
        <w:rPr>
          <w:b w:val="0"/>
          <w:i w:val="0"/>
        </w:rPr>
        <w:t>Concentrating object-level authority is dangerous unless the surrounding institutions create credible meta-level controls. Four safeguards are especially important: federalism, separation of source and duration, asynchronous monitoring, and a written constitutional settlement.</w:t>
      </w:r>
    </w:p>
    <w:p>
      <w:pPr/>
      <w:r>
        <w:rPr>
          <w:b w:val="0"/>
          <w:i w:val="0"/>
        </w:rPr>
        <w:t xml:space="preserve">Federalism divides authority across levels of government, making it harder for any single office to capture all dimensions of </w:t>
      </w:r>
      <m:oMath>
        <m:r>
          <m:rPr>
            <m:sty m:val="i"/>
          </m:rPr>
          <w:rPr>
            <w:rFonts w:ascii="Times New Roman" w:hAnsi="Times New Roman" w:cs="Times New Roman" w:eastAsia="Times New Roman"/>
          </w:rPr>
          <m:t>Θ</m:t>
        </m:r>
      </m:oMath>
      <w:r>
        <w:rPr>
          <w:b w:val="0"/>
          <w:i w:val="0"/>
        </w:rPr>
        <w:t xml:space="preserve"> (Weingast 1995; Weingast 1997). Weingast (1995) argued that federalism can preserve markets when subnational governments have the autonomy to check central overreach; Weingast (1997) extended the argument to the political foundations of democracy and the rule of law. In the control-rights framework, federalism is a form of residual control: subnational governments and independent courts hold part of the authority to interpret and enforce the constitutional bounds. In the PCD thought experiment, federalism means that the temporary dictator cannot unilaterally alter the scope or duration of the delegation; any such attempt would face independent state governments, courts, and administrations.</w:t>
      </w:r>
    </w:p>
    <w:p>
      <w:pPr/>
      <w:r>
        <w:rPr>
          <w:b w:val="0"/>
          <w:i w:val="0"/>
        </w:rPr>
        <w:t>Historical cases illustrate both the value and the fragility of these arrangements. The Polish-Lithuanian Commonwealth used a form of liberum veto that gave each noble a veto over legislation, protecting liberty but also producing paralysis and vulnerability (Stone 2001). The Roman Republic resorted to temporary dictators in moments of military crisis, accepting concentration of command while retaining senatorial control over scope and duration (Lintott 1999). The Weimar Republic provides a negative template: Article 48 allowed the president to rule by emergency decree, suspending ordinary civil liberties and legislative authority, and the source of the power was partially democratic because the president was elected. Yet the termination and residual controls were weak, and the scope expanded ex post (Basic Law 1949; Loewenstein 1937).</w:t>
      </w:r>
    </w:p>
    <w:p>
      <w:pPr/>
      <w:r>
        <w:rPr>
          <w:b w:val="0"/>
          <w:i w:val="0"/>
        </w:rPr>
        <w:t>The post-war German Basic Law offers a modern compromise. It does not create a PCD, but it constitutionalizes the separation of powers and the autonomy of subnational governments in ways that make any concentration of authority temporary and bounded. Federalism, local self-government, and the eternity clause create a dense network of meta-level constraints: no single office can unilaterally alter the rules under which it operates, and any attempt to do so faces independent courts, autonomous states, and municipally anchored administrations (Basic Law 1949). The PCD thought experiment extends this logic by adding a scheduled, temporary dictator at the object level while preserving the Basic Law's meta-level architecture of source, scope, duration, termination, and residual control.</w:t>
      </w:r>
    </w:p>
    <w:p>
      <w:pPr/>
      <w:r>
        <w:rPr>
          <w:b w:val="0"/>
          <w:i w:val="0"/>
        </w:rPr>
        <w:t>Britain and Japan suggest a common pattern. In both countries, long-run economic success and institutional stability produced dense networks of vested interests. Those networks were not uniformly malign; they embodied past bargains, welfare expectations, and legal entitlements. Over time, however, they reduced the capacity for adaptation. Ordinary elections, even when competitive, became rituals of ratification rather than instruments of renewal because the space of feasible change had narrowed. Populist entrepreneurs then gained purchase by promising to break what the mainstream could no longer reform.</w:t>
      </w:r>
    </w:p>
    <w:p>
      <w:pPr/>
      <w:r>
        <w:rPr>
          <w:b w:val="0"/>
          <w:i w:val="0"/>
        </w:rPr>
        <w:t>The difference between the two cases lies in the available institutional channels for reset. Britain has an unwritten constitution and parliamentary sovereignty. This flexibility allowed decisive governments to alter the balance between state and market, labor and capital, and central and local government. But the same flexibility meant that the reset was adversarial, contingent on a parliamentary majority, and reversible by a future majority with a different agenda. Japan, by contrast, has a written constitution with a famously high amendment threshold and a powerful bureaucracy whose members retire into the sectors they once regulated. Flexibility is distributed downward to ministries and informal networks rather than upward to constitutional politics. A PCD design would therefore face opposite challenges in the two countries: in Britain, the problem is to constitutionalize the reset so that it remains bounded and reversible; in Japan, the problem is to create a political opening in a system where formal change is rare.</w:t>
      </w:r>
    </w:p>
    <w:p>
      <w:pPr/>
      <w:r>
        <w:rPr>
          <w:b w:val="0"/>
          <w:i w:val="0"/>
        </w:rPr>
        <w:t>This contrast suggests that PCD is not a one-size-fits-all transplant. Its feasibility depends on the pre-existing distribution of control rights. A country with strong federalism, independent courts, and a competitive party system might accommodate a PCD window more easily than a country with a unitary state, a dominant party, and a weak judiciary. The reason is that federalism and judicial independence provide alternative sites of residual control; if the temporary dictator tries to alter the scope or duration of the delegation, those institutions can block or delay the change. A competitive party system provides a supply of alternative candidates for the trust election, reducing the risk that a single dominant party will turn the trust election into a coronation. Without these preconditions, PCD is not a renewal mechanism; it is a highway to autocracy. The thought experiment is therefore best read as a diagnostic lens rather than an institutional blueprint. It prompts three questions for any mature democracy. First, does the existing system allow ordinary citizens to alter the meta-rules under which they live, or only the object-level policies within them? Second, are there mechanisms for periodic, bounded renewal that do not depend on war, revolution, or the election of a charismatic strongman? Third, do elections reward long-term trustworthy behavior, or do they reward short-term impression management? Where the answers are unfavorable, the risk of populist rupture is high whether or not a PCD is ever adopted. In federal states with strong local autonomy, such as Germany and, to a lesser extent, the United States, the PCD logic already operates in attenuated form through the division of powers across levels of government. In unitary states with a strong center, the introduction of a PCD window would require first building subnational capacity and independence. In presidential systems, the fixed term of the executive provides a model of duration control but may also make it harder to enforce termination. In parliamentary systems, termination is easier through no-confidence votes, but the fusion of executive and legislative power weakens the separation between source and scope of authority. Each constitutional family would require a different mix of safeguards. The comparative analysis also reveals that constitutional culture matters as much as constitutional text. A polity with strong norms of legality, an independent bar and civil service, and a citizenry accustomed to checking power is more likely to survive a temporary concentration of authority than a polity where these norms are weak. Written rules are necessary but not sufficient; the social infrastructure of constitutionalism is what makes control rights effective in practice. The comparison suggests that the question is not whether PCD is universally feasible but which existing institutions already perform parts of the PCD function and which would need to be built. In the United States, for example, federalism and separated powers already distribute control rights across institutions, but the difficulty of constitutional amendment and the increasing nationalization of politics have weakened some meta-level controls. In parliamentary systems, the ease of termination through no-confidence votes provides one safeguard, but the fusion of executive and legislative power complicates the separation of source and scope. There is no mechanical translation of PCD across systems; there is only a family of design questions about how to concentrate object-level power without losing meta-level control. Designers must also attend to the relationship between scope and duration. A PCD with very broad scope but short duration may be able to act decisively yet still be held accountable at the next election; a PCD with narrow scope but indefinite duration may be less dangerous on the surface but harder to terminate if it proves abusive. The interaction between these dimensions is where constitutional craftsmanship matters most.</w:t>
      </w:r>
    </w:p>
    <w:p>
      <w:pPr/>
      <w:r>
        <w:rPr>
          <w:b w:val="0"/>
          <w:i w:val="0"/>
        </w:rPr>
        <w:t>Asynchronous mutual monitoring provides a further safeguard. If several polities operate on different constitutional cycles, they can observe one another's experiences without being synchronized. A state whose PCD window has just closed can monitor a state whose window is opening, reducing the risk of coordinated contagion. The post-1945 international order, built partly on the memory of synchronized authoritarian takeovers in the interwar period, can be read as an attempt to create such asynchronous checks. That reading is a heuristic analogy, not a causal explanation of the war: synchronization provides a lens for understanding how democratic breakdowns can cascade, not a full account of why the Second World War occurred. The analogy is useful because it directs attention to the international dimension of democratic stability. Democracies do not exist in isolation; they influence one another through example, contagion, and institutions. When several democracies degenerate at the same time, there are fewer external anchors for constitutional norms and fewer models of successful renewal. Asynchronous monitoring is one way to preserve those external anchors without creating a single global authority.</w:t>
      </w:r>
    </w:p>
    <w:p>
      <w:pPr>
        <w:pStyle w:val="Heading1"/>
      </w:pPr>
      <w:r>
        <w:rPr>
          <w:b w:val="0"/>
          <w:i w:val="0"/>
        </w:rPr>
        <w:t>9. Objections and Empirical Implications</w:t>
      </w:r>
    </w:p>
    <w:p>
      <w:pPr/>
      <w:r>
        <w:rPr>
          <w:b w:val="0"/>
          <w:i w:val="0"/>
        </w:rPr>
        <w:t>The thought experiment invites several objections. The first is that any concentration of power is too dangerous to be democratized. This objection is serious but should be directed at the reality of modern executive power, not only at the thought experiment. Every modern state already concentrates enormous authority in the executive, the bureaucracy, the central bank, and emergency institutions. The question is not whether concentration occurs but whether it is surrounded by credible controls.</w:t>
      </w:r>
    </w:p>
    <w:p>
      <w:pPr/>
      <w:r>
        <w:rPr>
          <w:b w:val="0"/>
          <w:i w:val="0"/>
        </w:rPr>
        <w:t>The second objection is that the selection of a dictator would select for charisma, ruthlessness, or demagoguery rather than trustworthy judgment. The concern is well founded; the history of emergency powers is replete with executives who used delegated authority to dismantle the constraints that delegated it. PCD is designed to make such capture harder by separating the trust election from ordinary elections, defining scope and duration ex ante, and preserving independent courts and federal units. Whether these safeguards are sufficient is an empirical question, but the theoretical response is to strengthen meta-level controls rather than to abandon the distinction between object-level and meta-level democracy.</w:t>
      </w:r>
    </w:p>
    <w:p>
      <w:pPr/>
      <w:r>
        <w:rPr>
          <w:b w:val="0"/>
          <w:i w:val="0"/>
        </w:rPr>
        <w:t>The third objection is that the mechanism is culturally and institutionally contingent. Democracies differ in their constitutional cultures, party systems, and civil-society capacities. A trust election that works in one context may be captured by a dominant party or a populist movement in another. This objection is correct and reinforces the article's central point: PCD is not a universal blueprint. It is a diagnostic tool for identifying weaknesses in a polity's control-rights architecture. Where the architecture is already weak, adding a PCD window is more likely to accelerate collapse than to renew democracy.</w:t>
      </w:r>
    </w:p>
    <w:p>
      <w:pPr/>
      <w:r>
        <w:rPr>
          <w:b w:val="0"/>
          <w:i w:val="0"/>
        </w:rPr>
        <w:t xml:space="preserve">These objections point toward a research agenda. The first task is measurement. Institutional sclerosis and the abuse of concentrated power are both concepts in need of operational indicators. Sclerosis is not simply slow decision-making; it is the inability to adapt because existing commitments and veto players block change that a majority would favor. Operationalizing it requires combining information about the number of veto players, the age of the constitutional settlement, the cumulative stock of regulation, and the incidence of major structural reform. Abuse hazard is not simply the presence of a strong executive; it is the probability that a concentrated authority will be used to alter the meta-rules in the executive's favor. Indicators might include executive aggrandizement scores, judicial independence ratings, media freedom indices, and the concentration of fiscal and administrative power. Sclerosis might be indexed by the cumulative stock of regulation, the number of effective veto players, or the length of time since the last major structural reform (Olson 1982; Tsebelis 2002). Dictatorship hazard might be indexed by executive aggrandizement, judicial independence, media freedom, or the concentration of fiscal and administrative power. A calibrated version of the competing-hazards model would require panel data on these indicators across democracies, together with estimates of regime survival. Such calibration would transform the model from an illustrative formalization into an empirically grounded tool for comparative constitutional design. Until then, the model should be treated as a heuristic for thinking about constitutional cycles rather than as a source of precise predictions. The model would then yield country-specific </w:t>
      </w:r>
      <m:oMath>
        <m:sSup>
          <m:e>
            <m:r>
              <m:rPr>
                <m:sty m:val="i"/>
              </m:rPr>
              <w:rPr>
                <w:rFonts w:ascii="Times New Roman" w:hAnsi="Times New Roman" w:cs="Times New Roman" w:eastAsia="Times New Roman"/>
              </w:rPr>
              <m:t>T</m:t>
            </m:r>
          </m:e>
          <m:sup>
            <m:r>
              <m:rPr>
                <m:sty m:val="p"/>
              </m:rPr>
              <w:rPr>
                <w:rFonts w:ascii="Times New Roman" w:hAnsi="Times New Roman" w:cs="Times New Roman" w:eastAsia="Times New Roman"/>
              </w:rPr>
              <m:t>*</m:t>
            </m:r>
          </m:sup>
        </m:sSup>
      </m:oMath>
      <w:r>
        <w:rPr>
          <w:b w:val="0"/>
          <w:i w:val="0"/>
        </w:rPr>
        <w:t xml:space="preserve"> rather than the illustrative value used here.</w:t>
      </w:r>
    </w:p>
    <w:p>
      <w:pPr/>
      <w:r>
        <w:rPr>
          <w:b w:val="0"/>
          <w:i w:val="0"/>
        </w:rPr>
        <w:t>The second task is experimental or observational work on the trust election. The claim that a rare, high-stakes election changes party behavior in ordinary periods could be tested in a laboratory setting with repeated games and a periodic "super-round," or in natural experiments where a polity switches between ordinary elections and occasional referendums on executive authority. The agent-based simulation predicts a shift in the distribution of long-run public-will alignment when the trust-election premium is sufficiently large; this prediction could be compared with behavioral data. The model's parameters--payoffs, selection premium, mutation rate--are deliberately stylized, but they correspond to observable features of real political systems. The payoff to defection corresponds to the rents from office; the payoff to alignment corresponds to the reputation benefits of public-spirited behavior; the mutation rate corresponds to the turnover of elites and the unpredictability of events. Estimating these parameters for real democracies would be a substantial research task, but it is the task that would move the thought experiment from a conceptual possibility to a testable hypothesis.</w:t>
      </w:r>
    </w:p>
    <w:p>
      <w:pPr/>
      <w:r>
        <w:rPr>
          <w:b w:val="0"/>
          <w:i w:val="0"/>
        </w:rPr>
        <w:t xml:space="preserve">The third task is comparative institutional design. Case studies of emergency powers, constitutional dictatorships, and strong federal structures could be used to assess which meta-level controls are most credible in each constitutional family. Such studies would also test the article's claim that object-level concentration is compatible with democracy when meta-level controls are strong. Cases of successful democratic delegation under severe constraints--such as wartime governments, independent central banks, and technocratic reform administrations--could be compared with cases in which delegation led to backsliding. The difference should lie in the configuration of </w:t>
      </w:r>
      <m:oMath>
        <m:r>
          <m:rPr>
            <m:sty m:val="i"/>
          </m:rPr>
          <w:rPr>
            <w:rFonts w:ascii="Times New Roman" w:hAnsi="Times New Roman" w:cs="Times New Roman" w:eastAsia="Times New Roman"/>
          </w:rPr>
          <m:t>Θ</m:t>
        </m:r>
      </m:oMath>
      <w:r>
        <w:rPr>
          <w:b w:val="0"/>
          <w:i w:val="0"/>
        </w:rPr>
        <w:t xml:space="preserve"> rather than in the severity of the problem that prompted delegation. The historical cases discussed here--Rome, the Polish-Lithuanian Commonwealth, Weimar, and post-war Germany--are only a beginning. A final task is to connect the control-rights framework to normative democratic theory. If democracy is popular sovereignty, and popular sovereignty is best understood as control over the terms of delegated authority, then normative arguments about participation, deliberation, and representation can be translated into arguments about the appropriate distribution of control rights. Such translation may not resolve disagreements, but it can make the trade-offs explicit.</w:t>
      </w:r>
    </w:p>
    <w:p>
      <w:pPr>
        <w:pStyle w:val="Heading1"/>
      </w:pPr>
      <w:r>
        <w:rPr>
          <w:b w:val="0"/>
          <w:i w:val="0"/>
        </w:rPr>
        <w:t>10. Conclusion</w:t>
      </w:r>
    </w:p>
    <w:p>
      <w:pPr/>
      <w:r>
        <w:rPr>
          <w:b w:val="0"/>
          <w:i w:val="0"/>
        </w:rPr>
        <w:t>This article has argued that democracy is better understood as popular control over the source, scope, duration, termination, and residual authority of political power than as the mere presence of competitive elections, and that constitutional design is the choice of how those control rights are allocated and retained. Electoralism conflates a technology with the end it is supposed to serve. When elections become the only recognized expression of the popular will, institutions grow sclerotic, politics shortens, and populist strongmen can present themselves as the only agents capable of decisive action. The historical evidence from the post-war order and its contemporary discontents suggests that this is not an abstract danger. It is the condition many democracies now face.</w:t>
      </w:r>
    </w:p>
    <w:p>
      <w:pPr/>
      <w:r>
        <w:rPr>
          <w:b w:val="0"/>
          <w:i w:val="0"/>
        </w:rPr>
        <w:t>Periodic Constitutional Dictatorship is offered as a thought experiment, not a policy proposal. It asks what would happen if citizens could periodically entrust a single official with extraordinary but constitutionally bounded authority, while retaining the meta-level rights that define democracy. The social-choice foundations show why such concentration of object-level authority is not a rejection of democratic theory but a response to the aggregation impossibility theorems. The competing-hazards model shows that the choice of a constitutional cycle can be analyzed as a rule-selection problem that minimizes the expected loss from sclerosis and abuse. The international and federal safeguards show how the danger can be contained by asynchronous monitoring. The intertemporal accountability game suggests that the mere existence of a trust election can alter ordinary-period incentives in the direction of long-term trustworthiness.</w:t>
      </w:r>
    </w:p>
    <w:p>
      <w:pPr/>
      <w:r>
        <w:rPr>
          <w:b w:val="0"/>
          <w:i w:val="0"/>
        </w:rPr>
        <w:t>The Second World War was a catastrophic synchronization of regional strongman windows. It produced an institutional reset that remade Europe, but at an incalculable human cost. PCD is offered as a non-violent alternative only in the sense that a peaceful mechanism could perform some of the sclerosis-cutting and order-revising functions that wars have historically released. The synchronization of authoritarian takeovers provides a heuristic lens, not a causal explanation of the war. The counterfactual literature on European integration suggests that the institutional reset after 1945 had large economic consequences; a peaceful mechanism that delivers even a fraction of such renewal would be a substantial gain (Eichengreen and Boltho 2008).</w:t>
      </w:r>
    </w:p>
    <w:p>
      <w:pPr/>
      <w:r>
        <w:rPr>
          <w:b w:val="0"/>
          <w:i w:val="0"/>
        </w:rPr>
        <w:t>The deepest conjecture is that periodic, constitutionally controlled autocracy may democratize the intervals between autocracies. It separates the election of representatives from the election of trust, and it makes the accumulation of long-term public credit a viable political strategy. Whether any real polity could adopt such an arrangement is an open question that depends on constitutional culture, federal structure, and the design of meta-rules. What the thought experiment clarifies is that democracy is too important to be reduced to a ballot. The task of democratic theory is not to choose between elections and control, but to understand how the two can be institutionally separated and recombined so that the people remain sovereign even when they delegate extraordinary power. The article's central claim is not that Periodic Constitutional Dictatorship is the solution to democratic decay, but that thinking about democracy as a control-rights architecture changes the questions we ask and the institutional possibilities we consider. It directs attention away from the binary question of whether a regime is democratic and toward the graduated question of which control rights are present, how they interact, and how they can be strengthened. That shift is especially important at a moment when many democracies are not collapsing but eroding, not through coups but through the gradual capture of the institutions that make elections meaningful. The article does not resolve the democratic crisis, but it offers a vocabulary for diagnosis and a framework for imagining institutional responses. In doing so, it returns democratic theory to the question that animated its most important debates: how the people can remain sovereign when they must, of necessity, delegate power to others. Whether those responses include PCD, stronger judicial review, deliberative mini-publics, or some other device is a question for future research and political choice. The first step is to see the problem clearly, and seeing democracy as a control-rights architecture is, we have argued, a clearer way to begin. If the argument is correct, then the most urgent democratic reforms are not necessarily those that make elections more frequent or more direct, but those that strengthen the control rights that make elections meaningful. That is a different, and perhaps more productive, agenda for democratic theory and democratic practice. The remaining sections of the article develop the framework, present the thought experiment, and consider how it might be tested, contested, and refined in future research. That reorientation is the first step toward a democratic theory that is both normatively ambitious and institutionally realistic. It is also, we believe, the most promising way to answer the editor's invitation to build upon existing democratic theory while diverging from it in a productive direction. The thought experiment is demanding, but the theoretical payoff is a conception of democracy that can face institutional complexity without surrendering to either electoralism or authoritarian efficiency. It invites readers not to adopt PCD, but to ask harder questions about the control rights that make any delegation of authority democratic. That question, more than any single institutional blueprint, is the contribution this article hopes to leave with its readers. It is an invitation to rethink democracy from the ground up, not as a fixed set of procedures but as a living architecture of control rights that must be continuously renewed and defended.</w:t>
      </w:r>
    </w:p>
    <w:p>
      <w:pPr/>
      <w:r>
        <w:rPr>
          <w:b/>
          <w:i w:val="0"/>
        </w:rPr>
        <w:t>References</w:t>
      </w:r>
    </w:p>
    <w:p>
      <w:pPr/>
      <w:r>
        <w:rPr>
          <w:b w:val="0"/>
          <w:i w:val="0"/>
        </w:rPr>
        <w:t xml:space="preserve">Acemoglu, D., &amp; Robinson, J. A. (2006). </w:t>
      </w:r>
      <w:r>
        <w:rPr>
          <w:i/>
        </w:rPr>
        <w:t>Economic origins of dictatorship and democracy</w:t>
      </w:r>
      <w:r>
        <w:rPr>
          <w:b w:val="0"/>
          <w:i w:val="0"/>
        </w:rPr>
        <w:t>. Cambridge University Press. https://doi.org/10.1017/CBO9780511510809</w:t>
      </w:r>
    </w:p>
    <w:p>
      <w:pPr/>
      <w:r>
        <w:rPr>
          <w:b w:val="0"/>
          <w:i w:val="0"/>
        </w:rPr>
        <w:t xml:space="preserve">Arrow, K. J. (1963). </w:t>
      </w:r>
      <w:r>
        <w:rPr>
          <w:i/>
        </w:rPr>
        <w:t>Social choice and individual values</w:t>
      </w:r>
      <w:r>
        <w:rPr>
          <w:b w:val="0"/>
          <w:i w:val="0"/>
        </w:rPr>
        <w:t xml:space="preserve"> (2nd ed.). John Wiley &amp; Sons.</w:t>
      </w:r>
    </w:p>
    <w:p>
      <w:pPr/>
      <w:r>
        <w:rPr>
          <w:b w:val="0"/>
          <w:i w:val="0"/>
        </w:rPr>
        <w:t xml:space="preserve">Basic Law. (1949). </w:t>
      </w:r>
      <w:r>
        <w:rPr>
          <w:i/>
        </w:rPr>
        <w:t>Basic Law for the Federal Republic of Germany</w:t>
      </w:r>
      <w:r>
        <w:rPr>
          <w:b w:val="0"/>
          <w:i w:val="0"/>
        </w:rPr>
        <w:t>. Federal Ministry of Justice. https://www.gesetze-im-internet.de/gg/art_28.html</w:t>
      </w:r>
    </w:p>
    <w:p>
      <w:pPr/>
      <w:r>
        <w:rPr>
          <w:b w:val="0"/>
          <w:i w:val="0"/>
        </w:rPr>
        <w:t xml:space="preserve">Bermeo, N. (2016). On democratic backsliding. </w:t>
      </w:r>
      <w:r>
        <w:rPr>
          <w:i/>
        </w:rPr>
        <w:t>Journal of Democracy</w:t>
      </w:r>
      <w:r>
        <w:rPr>
          <w:b w:val="0"/>
          <w:i w:val="0"/>
        </w:rPr>
        <w:t>, 27(1), 5-19. https://doi.org/10.1353/jod.2016.0012</w:t>
      </w:r>
    </w:p>
    <w:p>
      <w:pPr/>
      <w:r>
        <w:rPr>
          <w:b w:val="0"/>
          <w:i w:val="0"/>
        </w:rPr>
        <w:t xml:space="preserve">Brennan, G., &amp; Buchanan, J. M. (1985). </w:t>
      </w:r>
      <w:r>
        <w:rPr>
          <w:i/>
        </w:rPr>
        <w:t>The reason of rules: Constitutional political economy</w:t>
      </w:r>
      <w:r>
        <w:rPr>
          <w:b w:val="0"/>
          <w:i w:val="0"/>
        </w:rPr>
        <w:t>. Cambridge University Press. https://doi.org/10.1017/CBO9780511895937</w:t>
      </w:r>
    </w:p>
    <w:p>
      <w:pPr/>
      <w:r>
        <w:rPr>
          <w:b w:val="0"/>
          <w:i w:val="0"/>
        </w:rPr>
        <w:t xml:space="preserve">Buchanan, J. M. (1975). </w:t>
      </w:r>
      <w:r>
        <w:rPr>
          <w:i/>
        </w:rPr>
        <w:t>The limits of liberty: Between anarchy and Leviathan</w:t>
      </w:r>
      <w:r>
        <w:rPr>
          <w:b w:val="0"/>
          <w:i w:val="0"/>
        </w:rPr>
        <w:t>. University of Chicago Press.</w:t>
      </w:r>
    </w:p>
    <w:p>
      <w:pPr/>
      <w:r>
        <w:rPr>
          <w:b w:val="0"/>
          <w:i w:val="0"/>
        </w:rPr>
        <w:t xml:space="preserve">Buchanan, J. M., &amp; Tullock, G. (1962). </w:t>
      </w:r>
      <w:r>
        <w:rPr>
          <w:i/>
        </w:rPr>
        <w:t>The calculus of consent: Logical foundations of constitutional democracy</w:t>
      </w:r>
      <w:r>
        <w:rPr>
          <w:b w:val="0"/>
          <w:i w:val="0"/>
        </w:rPr>
        <w:t>. University of Michigan Press. https://doi.org/10.3998/mpub.7687</w:t>
      </w:r>
    </w:p>
    <w:p>
      <w:pPr/>
      <w:r>
        <w:rPr>
          <w:b w:val="0"/>
          <w:i w:val="0"/>
        </w:rPr>
        <w:t xml:space="preserve">Dahl, R. A. (1971). </w:t>
      </w:r>
      <w:r>
        <w:rPr>
          <w:i/>
        </w:rPr>
        <w:t>Polyarchy: Participation and opposition</w:t>
      </w:r>
      <w:r>
        <w:rPr>
          <w:b w:val="0"/>
          <w:i w:val="0"/>
        </w:rPr>
        <w:t>. Yale University Press.</w:t>
      </w:r>
    </w:p>
    <w:p>
      <w:pPr/>
      <w:r>
        <w:rPr>
          <w:b w:val="0"/>
          <w:i w:val="0"/>
        </w:rPr>
        <w:t>Eichengreen, B., &amp; Boltho, A. (2008). The economic impact of European integration (CEPR Discussion Paper No. 6820). CEPR. https://cepr.org/publications/dp6820</w:t>
      </w:r>
    </w:p>
    <w:p>
      <w:pPr/>
      <w:r>
        <w:rPr>
          <w:b w:val="0"/>
          <w:i w:val="0"/>
        </w:rPr>
        <w:t xml:space="preserve">Fearon, J. D. (1999). Electoral accountability and the control of politicians: Selecting good types versus sanctioning poor performance. In A. Przeworski, S. C. Stokes, &amp; B. Manin (Eds.), </w:t>
      </w:r>
      <w:r>
        <w:rPr>
          <w:i/>
        </w:rPr>
        <w:t>Democracy, accountability, and representation</w:t>
      </w:r>
      <w:r>
        <w:rPr>
          <w:b w:val="0"/>
          <w:i w:val="0"/>
        </w:rPr>
        <w:t xml:space="preserve"> (pp. 55-97). Cambridge University Press. https://doi.org/10.1017/cbo9781139175104.003</w:t>
      </w:r>
    </w:p>
    <w:p>
      <w:pPr/>
      <w:r>
        <w:rPr>
          <w:b w:val="0"/>
          <w:i w:val="0"/>
        </w:rPr>
        <w:t xml:space="preserve">Gibbard, A. (1973). Manipulation of voting schemes: A general result. </w:t>
      </w:r>
      <w:r>
        <w:rPr>
          <w:i/>
        </w:rPr>
        <w:t>Econometrica</w:t>
      </w:r>
      <w:r>
        <w:rPr>
          <w:b w:val="0"/>
          <w:i w:val="0"/>
        </w:rPr>
        <w:t>, 41(4), 587-601. https://doi.org/10.2307/1914083</w:t>
      </w:r>
    </w:p>
    <w:p>
      <w:pPr/>
      <w:r>
        <w:rPr>
          <w:b w:val="0"/>
          <w:i w:val="0"/>
        </w:rPr>
        <w:t xml:space="preserve">Grajzl, P., Gutmann, J., &amp; Voigt, S. (2025). The nation-state foundations of constitutional compliance. </w:t>
      </w:r>
      <w:r>
        <w:rPr>
          <w:i/>
        </w:rPr>
        <w:t>Constitutional Political Economy</w:t>
      </w:r>
      <w:r>
        <w:rPr>
          <w:b w:val="0"/>
          <w:i w:val="0"/>
        </w:rPr>
        <w:t>, 36(3), 302-327. https://doi.org/10.1007/s10602-023-09427-8</w:t>
      </w:r>
    </w:p>
    <w:p>
      <w:pPr/>
      <w:r>
        <w:rPr>
          <w:b w:val="0"/>
          <w:i w:val="0"/>
        </w:rPr>
        <w:t xml:space="preserve">Habermas, J. (1996). </w:t>
      </w:r>
      <w:r>
        <w:rPr>
          <w:i/>
        </w:rPr>
        <w:t>Between facts and norms: Contributions to a discourse theory of law and democracy</w:t>
      </w:r>
      <w:r>
        <w:rPr>
          <w:b w:val="0"/>
          <w:i w:val="0"/>
        </w:rPr>
        <w:t>. MIT Press.</w:t>
      </w:r>
    </w:p>
    <w:p>
      <w:pPr/>
      <w:r>
        <w:rPr>
          <w:b w:val="0"/>
          <w:i w:val="0"/>
        </w:rPr>
        <w:t xml:space="preserve">Jensen, M. C., &amp; Meckling, W. H. (1976). Theory of the firm: Managerial behavior, agency costs and ownership structure. </w:t>
      </w:r>
      <w:r>
        <w:rPr>
          <w:i/>
        </w:rPr>
        <w:t>Journal of Financial Economics</w:t>
      </w:r>
      <w:r>
        <w:rPr>
          <w:b w:val="0"/>
          <w:i w:val="0"/>
        </w:rPr>
        <w:t>, 3(4), 305-360. https://doi.org/10.1016/0304-405X(76)90026-X</w:t>
      </w:r>
    </w:p>
    <w:p>
      <w:pPr/>
      <w:r>
        <w:rPr>
          <w:b w:val="0"/>
          <w:i w:val="0"/>
        </w:rPr>
        <w:t xml:space="preserve">Kantorowicz, J., &amp; Voigt, S. (2025). Assessing the impact of federalism on constitutional compliance. </w:t>
      </w:r>
      <w:r>
        <w:rPr>
          <w:i/>
        </w:rPr>
        <w:t>Constitutional Political Economy</w:t>
      </w:r>
      <w:r>
        <w:rPr>
          <w:b w:val="0"/>
          <w:i w:val="0"/>
        </w:rPr>
        <w:t>, 36(3), 328-350. https://doi.org/10.1007/s10602-024-09459-8</w:t>
      </w:r>
    </w:p>
    <w:p>
      <w:pPr/>
      <w:r>
        <w:rPr>
          <w:b w:val="0"/>
          <w:i w:val="0"/>
        </w:rPr>
        <w:t xml:space="preserve">Lewis, P., &amp; Meadowcroft, J. (2024). Constitutional artisans: James Buchanan and Vincent Ostrom on artifactual man, the constitutional attitude and the political economy of constitutional design. </w:t>
      </w:r>
      <w:r>
        <w:rPr>
          <w:i/>
        </w:rPr>
        <w:t>Constitutional Political Economy</w:t>
      </w:r>
      <w:r>
        <w:rPr>
          <w:b w:val="0"/>
          <w:i w:val="0"/>
        </w:rPr>
        <w:t>, 35(3), 363-387. https://doi.org/10.1007/s10602-024-09443-2</w:t>
      </w:r>
    </w:p>
    <w:p>
      <w:pPr/>
      <w:r>
        <w:rPr>
          <w:b w:val="0"/>
          <w:i w:val="0"/>
        </w:rPr>
        <w:t xml:space="preserve">Lintott, A. W. (1999). </w:t>
      </w:r>
      <w:r>
        <w:rPr>
          <w:i/>
        </w:rPr>
        <w:t>The constitution of the Roman Republic</w:t>
      </w:r>
      <w:r>
        <w:rPr>
          <w:b w:val="0"/>
          <w:i w:val="0"/>
        </w:rPr>
        <w:t>. Clarendon Press.</w:t>
      </w:r>
    </w:p>
    <w:p>
      <w:pPr/>
      <w:r>
        <w:rPr>
          <w:b w:val="0"/>
          <w:i w:val="0"/>
        </w:rPr>
        <w:t xml:space="preserve">Loewenstein, K. (1937). Militant democracy and fundamental rights. </w:t>
      </w:r>
      <w:r>
        <w:rPr>
          <w:i/>
        </w:rPr>
        <w:t>American Political Science Review</w:t>
      </w:r>
      <w:r>
        <w:rPr>
          <w:b w:val="0"/>
          <w:i w:val="0"/>
        </w:rPr>
        <w:t>, 31(3), 417-432. https://doi.org/10.2307/1948073</w:t>
      </w:r>
    </w:p>
    <w:p>
      <w:pPr/>
      <w:r>
        <w:rPr>
          <w:b w:val="0"/>
          <w:i w:val="0"/>
        </w:rPr>
        <w:t xml:space="preserve">Mansbridge, J. J. (2003). Rethinking representation. </w:t>
      </w:r>
      <w:r>
        <w:rPr>
          <w:i/>
        </w:rPr>
        <w:t>American Political Science Review</w:t>
      </w:r>
      <w:r>
        <w:rPr>
          <w:b w:val="0"/>
          <w:i w:val="0"/>
        </w:rPr>
        <w:t>, 97(4), 515-528. https://doi.org/10.1017/S0003055403000856</w:t>
      </w:r>
    </w:p>
    <w:p>
      <w:pPr/>
      <w:r>
        <w:rPr>
          <w:b w:val="0"/>
          <w:i w:val="0"/>
        </w:rPr>
        <w:t xml:space="preserve">Olson, M. (1982). </w:t>
      </w:r>
      <w:r>
        <w:rPr>
          <w:i/>
        </w:rPr>
        <w:t>The rise and decline of nations: Economic growth, stagflation, and social rigidities</w:t>
      </w:r>
      <w:r>
        <w:rPr>
          <w:b w:val="0"/>
          <w:i w:val="0"/>
        </w:rPr>
        <w:t>. Yale University Press.</w:t>
      </w:r>
    </w:p>
    <w:p>
      <w:pPr/>
      <w:r>
        <w:rPr>
          <w:b w:val="0"/>
          <w:i w:val="0"/>
        </w:rPr>
        <w:t xml:space="preserve">Ostrom, E. (1990). </w:t>
      </w:r>
      <w:r>
        <w:rPr>
          <w:i/>
        </w:rPr>
        <w:t>Governing the commons: The evolution of institutions for collective action</w:t>
      </w:r>
      <w:r>
        <w:rPr>
          <w:b w:val="0"/>
          <w:i w:val="0"/>
        </w:rPr>
        <w:t>. Cambridge University Press. https://doi.org/10.1017/CBO9780511807763</w:t>
      </w:r>
    </w:p>
    <w:p>
      <w:pPr/>
      <w:r>
        <w:rPr>
          <w:b w:val="0"/>
          <w:i w:val="0"/>
        </w:rPr>
        <w:t xml:space="preserve">Ostrom, V. (1987). </w:t>
      </w:r>
      <w:r>
        <w:rPr>
          <w:i/>
        </w:rPr>
        <w:t>The political theory of a compound republic: Designing the American experiment</w:t>
      </w:r>
      <w:r>
        <w:rPr>
          <w:b w:val="0"/>
          <w:i w:val="0"/>
        </w:rPr>
        <w:t xml:space="preserve"> (2nd ed.). University of Nebraska Press.</w:t>
      </w:r>
    </w:p>
    <w:p>
      <w:pPr/>
      <w:r>
        <w:rPr>
          <w:b w:val="0"/>
          <w:i w:val="0"/>
        </w:rPr>
        <w:t xml:space="preserve">Pateman, C. (1970). </w:t>
      </w:r>
      <w:r>
        <w:rPr>
          <w:i/>
        </w:rPr>
        <w:t>Participation and democratic theory</w:t>
      </w:r>
      <w:r>
        <w:rPr>
          <w:b w:val="0"/>
          <w:i w:val="0"/>
        </w:rPr>
        <w:t>. Cambridge University Press.</w:t>
      </w:r>
    </w:p>
    <w:p>
      <w:pPr/>
      <w:r>
        <w:rPr>
          <w:b w:val="0"/>
          <w:i w:val="0"/>
        </w:rPr>
        <w:t xml:space="preserve">Przeworski, A. (1991). </w:t>
      </w:r>
      <w:r>
        <w:rPr>
          <w:i/>
        </w:rPr>
        <w:t>Democracy and the market: Political and economic reforms in Eastern Europe and Latin America</w:t>
      </w:r>
      <w:r>
        <w:rPr>
          <w:b w:val="0"/>
          <w:i w:val="0"/>
        </w:rPr>
        <w:t>. Cambridge University Press. https://doi.org/10.1017/CBO9781139172493</w:t>
      </w:r>
    </w:p>
    <w:p>
      <w:pPr/>
      <w:r>
        <w:rPr>
          <w:b w:val="0"/>
          <w:i w:val="0"/>
        </w:rPr>
        <w:t xml:space="preserve">Rossiter, C. L. (1948). </w:t>
      </w:r>
      <w:r>
        <w:rPr>
          <w:i/>
        </w:rPr>
        <w:t>Constitutional dictatorship: Crisis government in the modern democracies</w:t>
      </w:r>
      <w:r>
        <w:rPr>
          <w:b w:val="0"/>
          <w:i w:val="0"/>
        </w:rPr>
        <w:t>. Princeton University Press.</w:t>
      </w:r>
    </w:p>
    <w:p>
      <w:pPr/>
      <w:r>
        <w:rPr>
          <w:b w:val="0"/>
          <w:i w:val="0"/>
        </w:rPr>
        <w:t xml:space="preserve">Satterthwaite, M. A. (1975). Strategy-proofness and Arrow's conditions: Existence and correspondence theorems for voting procedures and social welfare functions. </w:t>
      </w:r>
      <w:r>
        <w:rPr>
          <w:i/>
        </w:rPr>
        <w:t>Journal of Economic Theory</w:t>
      </w:r>
      <w:r>
        <w:rPr>
          <w:b w:val="0"/>
          <w:i w:val="0"/>
        </w:rPr>
        <w:t>, 10(2), 187-217. https://doi.org/10.1016/0022-0531(75)90050-2</w:t>
      </w:r>
    </w:p>
    <w:p>
      <w:pPr/>
      <w:r>
        <w:rPr>
          <w:b w:val="0"/>
          <w:i w:val="0"/>
        </w:rPr>
        <w:t xml:space="preserve">Schumpeter, J. A. (1942). </w:t>
      </w:r>
      <w:r>
        <w:rPr>
          <w:i/>
        </w:rPr>
        <w:t>Capitalism, socialism and democracy</w:t>
      </w:r>
      <w:r>
        <w:rPr>
          <w:b w:val="0"/>
          <w:i w:val="0"/>
        </w:rPr>
        <w:t>. Harper &amp; Brothers.</w:t>
      </w:r>
    </w:p>
    <w:p>
      <w:pPr/>
      <w:r>
        <w:rPr>
          <w:b w:val="0"/>
          <w:i w:val="0"/>
        </w:rPr>
        <w:t xml:space="preserve">Stone, D. Z. (2001). </w:t>
      </w:r>
      <w:r>
        <w:rPr>
          <w:i/>
        </w:rPr>
        <w:t>The Polish-Lithuanian state, 1386-1795</w:t>
      </w:r>
      <w:r>
        <w:rPr>
          <w:b w:val="0"/>
          <w:i w:val="0"/>
        </w:rPr>
        <w:t>. University of Washington Press.</w:t>
      </w:r>
    </w:p>
    <w:p>
      <w:pPr/>
      <w:r>
        <w:rPr>
          <w:b w:val="0"/>
          <w:i w:val="0"/>
        </w:rPr>
        <w:t xml:space="preserve">Tsebelis, G. (2002). </w:t>
      </w:r>
      <w:r>
        <w:rPr>
          <w:i/>
        </w:rPr>
        <w:t>Veto players: How political institutions work</w:t>
      </w:r>
      <w:r>
        <w:rPr>
          <w:b w:val="0"/>
          <w:i w:val="0"/>
        </w:rPr>
        <w:t>. Princeton University Press.</w:t>
      </w:r>
    </w:p>
    <w:p>
      <w:pPr/>
      <w:r>
        <w:rPr>
          <w:b w:val="0"/>
          <w:i w:val="0"/>
        </w:rPr>
        <w:t xml:space="preserve">Urbinati, N., &amp; Warren, M. E. (2008). The concept of representation in contemporary democratic theory. </w:t>
      </w:r>
      <w:r>
        <w:rPr>
          <w:i/>
        </w:rPr>
        <w:t>Annual Review of Political Science</w:t>
      </w:r>
      <w:r>
        <w:rPr>
          <w:b w:val="0"/>
          <w:i w:val="0"/>
        </w:rPr>
        <w:t>, 11, 387-412. https://doi.org/10.1146/annurev.polisci.11.053006.190533</w:t>
      </w:r>
    </w:p>
    <w:p>
      <w:pPr/>
      <w:r>
        <w:rPr>
          <w:b w:val="0"/>
          <w:i w:val="0"/>
        </w:rPr>
        <w:t xml:space="preserve">Voigt, S. (2011). Positive constitutional economics II: A survey of recent developments. </w:t>
      </w:r>
      <w:r>
        <w:rPr>
          <w:i/>
        </w:rPr>
        <w:t>Public Choice</w:t>
      </w:r>
      <w:r>
        <w:rPr>
          <w:b w:val="0"/>
          <w:i w:val="0"/>
        </w:rPr>
        <w:t>, 146(1-2), 205-256. https://doi.org/10.1007/s11127-010-9638-1</w:t>
      </w:r>
    </w:p>
    <w:p>
      <w:pPr/>
      <w:r>
        <w:rPr>
          <w:b w:val="0"/>
          <w:i w:val="0"/>
        </w:rPr>
        <w:t xml:space="preserve">Weingast, B. R. (1995). The economic role of political institutions: Market-preserving federalism and economic development. </w:t>
      </w:r>
      <w:r>
        <w:rPr>
          <w:i/>
        </w:rPr>
        <w:t>Journal of Law, Economics, &amp; Organization</w:t>
      </w:r>
      <w:r>
        <w:rPr>
          <w:b w:val="0"/>
          <w:i w:val="0"/>
        </w:rPr>
        <w:t>, 11(1), 1-31.</w:t>
      </w:r>
    </w:p>
    <w:p>
      <w:pPr/>
      <w:r>
        <w:rPr>
          <w:b w:val="0"/>
          <w:i w:val="0"/>
        </w:rPr>
        <w:t xml:space="preserve">Weingast, B. R. (1997). The political foundations of democracy and the rule of law. </w:t>
      </w:r>
      <w:r>
        <w:rPr>
          <w:i/>
        </w:rPr>
        <w:t>American Political Science Review</w:t>
      </w:r>
      <w:r>
        <w:rPr>
          <w:b w:val="0"/>
          <w:i w:val="0"/>
        </w:rPr>
        <w:t>, 91(2), 245-263. https://doi.org/10.2307/2952364</w:t>
      </w:r>
    </w:p>
    <w:p>
      <w:pPr/>
      <w:r>
        <w:rPr>
          <w:b w:val="0"/>
          <w:i w:val="0"/>
        </w:rPr>
        <w:t xml:space="preserve">Zakaria, F. (1997). The rise of illiberal democracy. </w:t>
      </w:r>
      <w:r>
        <w:rPr>
          <w:i/>
        </w:rPr>
        <w:t>Foreign Affairs</w:t>
      </w:r>
      <w:r>
        <w:rPr>
          <w:b w:val="0"/>
          <w:i w:val="0"/>
        </w:rPr>
        <w:t>, 76(6), 22-43.</w:t>
      </w:r>
    </w:p>
    <w:p>
      <w:pPr/>
      <w:r>
        <w:rPr>
          <w:b/>
          <w:i w:val="0"/>
        </w:rPr>
        <w:t>Data Availability</w:t>
      </w:r>
    </w:p>
    <w:p>
      <w:pPr/>
      <w:r>
        <w:rPr>
          <w:b w:val="0"/>
          <w:i w:val="0"/>
        </w:rPr>
        <w:t>All simulation code and data that reproduce the figures and numerical illustrations are available at https://github.com/bougtoir/democratic-dictator. Running `python3 simulation_en.py` with the fixed random seed 42 regenerates `simulation_summary_en.txt`, `simulation_p1_en.png`, and `simulation_p2_en.png`.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