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Two pathways, many clocks: a commentary on Itao (2026)</w:t>
      </w:r>
    </w:p>
    <w:p>
      <w:pPr>
        <w:jc w:val="center"/>
      </w:pPr>
      <w:r>
        <w:rPr>
          <w:sz w:val="24"/>
        </w:rPr>
        <w:t>Tatsuki Onishi</w:t>
      </w:r>
    </w:p>
    <w:p>
      <w:pPr>
        <w:jc w:val="center"/>
      </w:pPr>
      <w:r>
        <w:rPr>
          <w:i/>
          <w:sz w:val="18"/>
        </w:rPr>
        <w:t>Affiliation to be completed. Corresponding author: Tatsuki Onishi (email to be completed).</w:t>
      </w:r>
    </w:p>
    <w:p>
      <w:pPr>
        <w:pStyle w:val="Heading2"/>
      </w:pPr>
      <w:r>
        <w:rPr>
          <w:color w:val="000000"/>
        </w:rPr>
        <w:t>Abstract</w:t>
      </w:r>
    </w:p>
    <w:p>
      <w:r>
        <w:t>Itao (2026) reports two universal demographic-transition pathways: a conserved λe₀ before and a conserved λexp(e₀/17) after a mid-twentieth-century change point. Using the same public data, we ask whether this is a placeless law or partly an artefact of aligning asynchronous national transitions on a common calendar, and whether it holds at sub-national scales. Country-specific onsets span 1828–2013 (IQR 58 years). Event-time alignment reduces between-country λ variance by a factor of 3.4, but tightens only the first conserved quantity. Within countries, regional λ at matched e₀ differs as much as the cross-national variation of the second pathway. The two pathways are a timing-locked regularity plus heterogeneous convergence rather than a single universal constant.</w:t>
      </w:r>
    </w:p>
    <w:p>
      <w:r>
        <w:rPr>
          <w:b/>
        </w:rPr>
        <w:t xml:space="preserve">Keywords: </w:t>
      </w:r>
      <w:r>
        <w:t>demographic transition; fertility; life expectancy; universality; sub-national heterogeneity; event-time alignment</w:t>
      </w:r>
    </w:p>
    <w:p>
      <w:pPr>
        <w:pStyle w:val="Heading2"/>
      </w:pPr>
      <w:r>
        <w:rPr>
          <w:color w:val="000000"/>
        </w:rPr>
        <w:t>A cross-disciplinary claim</w:t>
      </w:r>
    </w:p>
    <w:p>
      <w:r>
        <w:t>The search for law-like regularities in human populations has a long history (Notestein, 1945; Kirk, 1996). Itao (2026) contributes a striking recent example: plotting λ against life expectancy at birth e₀ for 186 countries, the paper reports that national trajectories are organised by two conserved quantities, λe₀ before and λexp(e₀/17) after a change point near the mid-twentieth century. Importing statistical-physics search for conserved quantities into demography is a valuable cross-disciplinary move, and the household model linking the shift to returns to schooling (Galor, 2011) gives a plausible mechanism. We take the two-regime description as a starting point and ask how far the regularity survives when timing and spatial scale are treated more carefully.</w:t>
      </w:r>
    </w:p>
    <w:p>
      <w:pPr>
        <w:pStyle w:val="Heading2"/>
      </w:pPr>
      <w:r>
        <w:rPr>
          <w:color w:val="000000"/>
        </w:rPr>
        <w:t>Asynchronous transitions, not a global turning point</w:t>
      </w:r>
    </w:p>
    <w:p>
      <w:r>
        <w:t>If the reported change point were a genuine world-historical moment, most countries should transition near it. They do not. Using Coale's (1973) onset definition—the first irreversible decline in a smoothed λ series—country-specific onsets range from 1828 to 2013, an inter-quartile range of 58 years; only 6% begin within a decade of 1950 (Figure 1A). A pooled calendar split is sharply estimated at 1966 (95% CI 1946–1969), consistent with Itao (2026), but this narrowness is an aggregation artefact: it summarises asynchronous national transitions rather than a synchronised global event (Bongaarts &amp; Watkins, 1996; Reher, 2004).</w:t>
      </w:r>
    </w:p>
    <w:p>
      <w:pPr>
        <w:pStyle w:val="Heading2"/>
      </w:pPr>
      <w:r>
        <w:rPr>
          <w:color w:val="000000"/>
        </w:rPr>
        <w:t>Event alignment sharpens the first pathway only</w:t>
      </w:r>
    </w:p>
    <w:p>
      <w:r>
        <w:t>If transitions are asynchronous, a placeless law should look clearer when each country is read on its own clock. Re-aligning trajectories on each country's onset reduces the between-country standard deviation of λ from 10.9 to 5.9 births per 1,000 in the ±25-year window—a 3.4-fold reduction in variance (Figure 1B). Under alignment, the first conserved quantity, λe₀, tightens from CV = 0.27 to 0.17, a timing-locked regularity that calendar-time pooling partly obscures. The second quantity, λexp(e₀/17), does not improve (CV = 0.30 versus 0.31; Figure 1C). The two pathways are asymmetric: the pre-transition process has a conservation-like structure once timing is modelled, whereas the post-transition regime remains a loose, heterogeneous convergence.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4569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6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i/>
          <w:sz w:val="18"/>
        </w:rPr>
        <w:t>Figure 1. (A) Fertility-transition onsets span 185 years; the shaded band is the 95% CI for the pooled calendar change point. (B) Event-time alignment (each country at its own onset) reduces the between-country SD of λ by a factor of 3.4. (C) Alignment lowers the CV of the first conserved quantity (λe₀) but not the second (λexp(e₀/17)). (D) Within five decentralised states, regions at nearly identical e₀ scatter off the single 'universal' Phase II isocline, so the country-level curve does not carry to sub-national scales.</w:t>
      </w:r>
    </w:p>
    <w:p>
      <w:pPr>
        <w:pStyle w:val="Heading2"/>
      </w:pPr>
      <w:r>
        <w:rPr>
          <w:color w:val="000000"/>
        </w:rPr>
        <w:t>No single curve describes within-country variation</w:t>
      </w:r>
    </w:p>
    <w:p>
      <w:r>
        <w:t>A genuinely placeless law should also hold below the national level. Region-level data for 156 regions of five decentralised states (Eurostat, 2024; National Center for Health Statistics, 2022; U.S. Census Bureau, 2020) show that regions of the same country at matched e₀ differ substantially in λ (Figure 1D). The within-country CV of λ among regions within a three-year e₀ band ranges from 0.10 to 0.36 (median 0.14), comparable to the cross-national Phase II CV (0.31). In Spain, regional λ in 2019 spans 5.1–14.3 births per 1,000 despite an e₀ spread of only 4.4 years. Longitudinal sub-populations from the Human Mortality Database (2024) likewise diverge: East and West Germany follow different λ–e₀ paths, with a mean matched-e₀ gap of 2.5 births per 1,000 (27% of the mean).</w:t>
      </w:r>
    </w:p>
    <w:p>
      <w:pPr>
        <w:pStyle w:val="Heading2"/>
      </w:pPr>
      <w:r>
        <w:rPr>
          <w:color w:val="000000"/>
        </w:rPr>
        <w:t>Conclusion</w:t>
      </w:r>
    </w:p>
    <w:p>
      <w:r>
        <w:t>None of this overturns the regularity Itao (2026) documents. It does relocate it. The first pathway is a timing-locked mortality–fertility co-movement that becomes sharper once each country is read on its own clock. The second pathway is better understood as heterogeneous convergence toward low fertility than as a single universal constant. Event-time alignment and hierarchical modelling are natural complements to the statistical-physics approach, pushing the same reasoning down to the within-country scales where policy operates.</w:t>
      </w:r>
    </w:p>
    <w:p>
      <w:pPr>
        <w:pStyle w:val="Heading2"/>
      </w:pPr>
      <w:r>
        <w:rPr>
          <w:color w:val="000000"/>
        </w:rPr>
        <w:t>Acknowledgements</w:t>
      </w:r>
    </w:p>
    <w:p>
      <w:r>
        <w:t>The author thanks Kenji Itao for making the original analysis and data openly available.</w:t>
      </w:r>
    </w:p>
    <w:p>
      <w:pPr>
        <w:pStyle w:val="Heading2"/>
      </w:pPr>
      <w:r>
        <w:rPr>
          <w:color w:val="000000"/>
        </w:rPr>
        <w:t>Financial Support</w:t>
      </w:r>
    </w:p>
    <w:p>
      <w:r>
        <w:t>This research received no specific grant.</w:t>
      </w:r>
    </w:p>
    <w:p>
      <w:pPr>
        <w:pStyle w:val="Heading2"/>
      </w:pPr>
      <w:r>
        <w:rPr>
          <w:color w:val="000000"/>
        </w:rPr>
        <w:t>Conflicts of Interest</w:t>
      </w:r>
    </w:p>
    <w:p>
      <w:r>
        <w:t>The author declares none.</w:t>
      </w:r>
    </w:p>
    <w:p>
      <w:pPr>
        <w:pStyle w:val="Heading2"/>
      </w:pPr>
      <w:r>
        <w:rPr>
          <w:color w:val="000000"/>
        </w:rPr>
        <w:t>References</w:t>
      </w:r>
    </w:p>
    <w:p>
      <w:pPr>
        <w:spacing w:after="120"/>
        <w:ind w:left="720" w:hanging="720"/>
      </w:pPr>
      <w:r>
        <w:t>Bongaarts, J., &amp; Watkins, S. C. (1996). Social interactions and contemporary fertility transitions. Population and Development Review, 22(4), 639–682.</w:t>
      </w:r>
    </w:p>
    <w:p>
      <w:pPr>
        <w:spacing w:after="120"/>
        <w:ind w:left="720" w:hanging="720"/>
      </w:pPr>
      <w:r>
        <w:t>Coale, A. J. (1973). The demographic transition reconsidered. In International Population Conference, Liège 1973 (Vol. 1, pp. 53–72). IUSSP.</w:t>
      </w:r>
    </w:p>
    <w:p>
      <w:pPr>
        <w:spacing w:after="120"/>
        <w:ind w:left="720" w:hanging="720"/>
      </w:pPr>
      <w:r>
        <w:t>Eurostat. (2024). Regional demographic statistics [Data set]. https://ec.europa.eu/eurostat/web/regions/data/database</w:t>
      </w:r>
    </w:p>
    <w:p>
      <w:pPr>
        <w:spacing w:after="120"/>
        <w:ind w:left="720" w:hanging="720"/>
      </w:pPr>
      <w:r>
        <w:t>Galor, O. (2011). Unified growth theory. Princeton University Press.</w:t>
      </w:r>
    </w:p>
    <w:p>
      <w:pPr>
        <w:spacing w:after="120"/>
        <w:ind w:left="720" w:hanging="720"/>
      </w:pPr>
      <w:r>
        <w:t>Human Mortality Database. (2024). University of California, Berkeley, and Max Planck Institute for Demographic Research. https://www.mortality.org</w:t>
      </w:r>
    </w:p>
    <w:p>
      <w:pPr>
        <w:spacing w:after="120"/>
        <w:ind w:left="720" w:hanging="720"/>
      </w:pPr>
      <w:r>
        <w:t>Itao, K. (2026). Two universal pathways in demographic transition. Evolutionary Human Sciences. https://doi.org/10.1017/ehs.2026.10054</w:t>
      </w:r>
    </w:p>
    <w:p>
      <w:pPr>
        <w:spacing w:after="120"/>
        <w:ind w:left="720" w:hanging="720"/>
      </w:pPr>
      <w:r>
        <w:t>Kirk, D. (1996). Demographic transition theory. Population Studies, 50(3), 361–387.</w:t>
      </w:r>
    </w:p>
    <w:p>
      <w:pPr>
        <w:spacing w:after="120"/>
        <w:ind w:left="720" w:hanging="720"/>
      </w:pPr>
      <w:r>
        <w:t>National Center for Health Statistics. (2022). U.S. state life expectancy by sex, 2019 [Data set]. Centers for Disease Control and Prevention. https://data.cdc.gov</w:t>
      </w:r>
    </w:p>
    <w:p>
      <w:pPr>
        <w:spacing w:after="120"/>
        <w:ind w:left="720" w:hanging="720"/>
      </w:pPr>
      <w:r>
        <w:t>Notestein, F. W. (1945). Population—the long view. In T. W. Schultz (Ed.), Food for the world (pp. 36–57). University of Chicago Press.</w:t>
      </w:r>
    </w:p>
    <w:p>
      <w:pPr>
        <w:spacing w:after="120"/>
        <w:ind w:left="720" w:hanging="720"/>
      </w:pPr>
      <w:r>
        <w:t>Reher, D. S. (2004). The demographic transition revisited as a global process. Population, Space and Place, 10(1), 19–41.</w:t>
      </w:r>
    </w:p>
    <w:p>
      <w:pPr>
        <w:spacing w:after="120"/>
        <w:ind w:left="720" w:hanging="720"/>
      </w:pPr>
      <w:r>
        <w:t>U.S. Census Bureau. (2020). Population estimates program (PEP): Components of change [Data set]. https://www.census.gov/programs-surveys/popest.html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lnNumType w:countBy="1" w:start="1" w:restart="continuous" w:distan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\* MERGEFORMAT </w:instrText>
      <w:fldChar w:fldCharType="separate"/>
    </w:r>
    <w:r>
      <w:rPr>
        <w:rFonts w:ascii="Times New Roman" w:hAnsi="Times New Roman"/>
        <w:sz w:val="22"/>
      </w:rPr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