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not special connections: a dependence-aware baseline for archaic-segment sharing across 66 human populations</w:t>
      </w:r>
    </w:p>
    <w:p/>
    <w:p>
      <w:pPr>
        <w:pStyle w:val="Heading1"/>
      </w:pPr>
      <w:r>
        <w:t>Abstract</w:t>
      </w:r>
    </w:p>
    <w:p>
      <w:pPr>
        <w:spacing w:line="360" w:lineRule="auto"/>
        <w:ind w:firstLine="0"/>
      </w:pPr>
      <w:r>
        <w:t>Archaic-like segments near focal loci such as the ABO blood-group gene are often read as evidence of a special population connection or migration route, yet such readings are rarely tested against a genome-wide baseline that respects the dependence structure of pairwise data. Here we frame that reading as an explicit, falsifiable claim and use a reproducible baseline as a well-powered negative test. High-confidence Neanderthal and Denisovan introgression calls from 3,134 individuals in 66 populations were summarised in 500-kilobase windows, and profile similarity was computed for 2,145 population pairs. Distance associations and pair-level outliers were assessed with population-label quadratic assignment procedure (QAP) permutations and false-discovery-rate (FDR) control. Profile similarity declined with geographic distance for Neanderthal (r=-0.497) and Denisovan (r=-0.462), with partial distance correlations of -0.369 and -0.326 and permutation P values of 0.0001 and 0.0002. No non-admixed pair reached both a residual above two standard deviations and an FDR below 0.10, and a prespecified ABO-window scan showed no route-level signal. Population-level archaic-segment sharing reflects broad geographic structure but supports neither exceptional population pairs nor an ABO-mediated migration history. By providing a reusable dependence-aware baseline, the framework turns the negative ABO finding into a set of testable alternative explanations for focal-locus archaic claims.</w:t>
      </w:r>
    </w:p>
    <w:p>
      <w:pPr>
        <w:ind w:firstLine="0"/>
      </w:pPr>
      <w:r>
        <w:rPr>
          <w:b/>
        </w:rPr>
        <w:t xml:space="preserve">Keywords: </w:t>
      </w:r>
      <w:r>
        <w:t>ABO Blood-Group System; gene flow; Neanderthals; Denisovans; population genetics; statistical models</w:t>
      </w:r>
    </w:p>
    <w:p>
      <w:r>
        <w:br w:type="page"/>
      </w:r>
    </w:p>
    <w:p>
      <w:pPr>
        <w:pStyle w:val="Heading1"/>
      </w:pPr>
      <w:r>
        <w:t>Introduction</w:t>
      </w:r>
    </w:p>
    <w:p>
      <w:pPr>
        <w:ind w:firstLine="432"/>
      </w:pPr>
      <w:r>
        <w:rPr>
          <w:rFonts w:ascii="Times New Roman" w:hAnsi="Times New Roman"/>
          <w:i w:val="0"/>
          <w:sz w:val="24"/>
        </w:rPr>
        <w:t>Genomic comparisons established gene flow from Neanderthals and Denisovans into ancestors of present-day populations outside Africa (Green et al. 2010; Reich et al. 2010). The amount and genomic distribution of introgressed sequence vary among populations because of demographic history, drift, selection, and multiple introgression histories (Sankararaman et al. 2014; Sankararaman et al. 2016; Jacobs et al. 2019). These differences invite a recurring style of inference in which shared archaic segments, often at a focal locus such as the ABO blood-group gene, are read as evidence of a special connection between two populations or of a particular migration route (Calafell et al. 2008; Halverson and Bolnick 2008; Condemi et al. 2021). We call this the special-connection claim.</w:t>
      </w:r>
    </w:p>
    <w:p>
      <w:pPr>
        <w:ind w:firstLine="432"/>
      </w:pPr>
      <w:r>
        <w:rPr>
          <w:rFonts w:ascii="Times New Roman" w:hAnsi="Times New Roman"/>
          <w:i w:val="0"/>
          <w:sz w:val="24"/>
        </w:rPr>
        <w:t>This claim has been especially prominent around the ABO blood-group locus. ABO polymorphism is ancient, medically visible, and has been interpreted as a trans-species polymorphism maintained by balancing selection (Segurel et al. 2012); compatible long-shared haplotypes have been read as signs of archaic introgression (Calafell et al. 2008), and inferred blood-group states in Neanderthals and Denisovans have fuelled popular narratives of ABO-mediated migration (Condemi et al. 2021). Yet earlier work also cautioned that ABO frequencies in Indigenous Americans are compatible with founder effects and drift rather than a special connection (Halverson and Bolnick 2008), and that the mere presence of an archaic segment near ABO does not specify a route. What these perspectives share is the absence of a reproducible, dependence-aware genome-wide baseline against which focal-locus claims can be judged.</w:t>
      </w:r>
    </w:p>
    <w:p>
      <w:pPr>
        <w:ind w:firstLine="432"/>
      </w:pPr>
      <w:r>
        <w:rPr>
          <w:rFonts w:ascii="Times New Roman" w:hAnsi="Times New Roman"/>
          <w:i w:val="0"/>
          <w:sz w:val="24"/>
        </w:rPr>
        <w:t>The special-connection claim is difficult to evaluate because pairwise profile similarity is dyadic: each of the 66 populations appears in many pair rows, so the 2,145 pairs are not independent observations. Standard row-wise regressions, bootstraps, or response shuffles do not preserve this population-level dependence, and an apparently exceptional pair can arise from broad structure alone. What is generally missing is a genome-wide baseline that constructs population profiles reproducibly, tests distance and pair-level effects under a permutation scheme that respects the dependence structure, and applies explicit multiple-testing control.</w:t>
      </w:r>
    </w:p>
    <w:p>
      <w:pPr>
        <w:ind w:firstLine="432"/>
      </w:pPr>
      <w:r>
        <w:rPr>
          <w:rFonts w:ascii="Times New Roman" w:hAnsi="Times New Roman"/>
          <w:i w:val="0"/>
          <w:sz w:val="24"/>
        </w:rPr>
        <w:t>Mantel tests address dyadic dependence by permuting matrix labels to test a single matrix correlation (Mantel 1967), but they do not provide regression coefficients for multiple predictors, pair-level residuals, or a multiple-testing framework across pairs. Quadratic assignment procedures (QAP) extend this permutation logic to multiple regression and, in our implementation, to pair-level residual null distributions and false-discovery-rate (FDR) control (Krackhardt 1988; Dekker, Krackhardt, and Snijders 2007).</w:t>
      </w:r>
    </w:p>
    <w:p>
      <w:pPr>
        <w:ind w:firstLine="432"/>
      </w:pPr>
      <w:r>
        <w:rPr>
          <w:rFonts w:ascii="Times New Roman" w:hAnsi="Times New Roman"/>
          <w:i w:val="0"/>
          <w:sz w:val="24"/>
        </w:rPr>
        <w:t>We build such a baseline and use it as a well-powered negative test of two recurring claims: that particular population pairs share an exceptional excess of archaic segments, and that a focal locus such as ABO marks a specific migration route. A clearly framed negative result under dependence-aware inference is itself informative, because it sets the genome-wide expectation that any positive focal-locus or special-connection claim must exceed. Using great-circle distance across 66 populations from the 1000 Genomes Project and Human Genome Diversity Project (HGDP), we test whether Neanderthal- and Denisovan-segment profile similarity declines with distance, whether any population pair is an FDR-supported residual outlier, and whether a prespecified interval centred on the ABO blood-group locus shows anything beyond the genome-wide expectation. Robustness to alternative windows, similarity metrics, sample-size thresholds, datasets, co-located pairs, and regional omission is assessed throughout. Although we use ABO as the illustrative focal locus, the same negative-control procedure can be applied to any locus or population pair that is read as evidence of a special connection, so the contribution is a reusable baseline rather than a single-locus finding.</w:t>
      </w:r>
    </w:p>
    <w:p>
      <w:pPr>
        <w:pStyle w:val="Heading1"/>
      </w:pPr>
      <w:r>
        <w:t>Materials and Methods</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Krackhardt, and Snijders 2007). The Benjamini-Hochberg procedure was applied jointly to all non-admixed pairs within each ancestry analysis to control the FDR (Benjamini and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Data-validity correction</w:t>
      </w:r>
    </w:p>
    <w:p>
      <w:pPr>
        <w:ind w:firstLine="432"/>
      </w:pPr>
      <w:r>
        <w:rPr>
          <w:rFonts w:ascii="Times New Roman" w:hAnsi="Times New Roman"/>
          <w:i w:val="0"/>
          <w:sz w:val="24"/>
        </w:rPr>
        <w:t>Collapsing fragmented segments at the individual-haplotype-window level removed duplicate contributions that could otherwise make a nominal frequency exceed 1. In the rebuilt profiles, the maximum frequency was 1.0 for both ancestry categories and no population-window frequency exceeded 1. The analysis retained 66 populations, 3,134 individuals, and 2,145 unique population pairs.</w:t>
      </w:r>
    </w:p>
    <w:p>
      <w:pPr>
        <w:pStyle w:val="Heading2"/>
      </w:pPr>
      <w:r>
        <w:t>Geographic distance decay</w:t>
      </w:r>
    </w:p>
    <w:p>
      <w:pPr>
        <w:ind w:firstLine="432"/>
      </w:pPr>
      <w:r>
        <w:rPr>
          <w:rFonts w:ascii="Times New Roman" w:hAnsi="Times New Roman"/>
          <w:i w:val="0"/>
          <w:sz w:val="24"/>
        </w:rPr>
        <w:t>Neanderthal profile similarity declined with distance (raw r=-0.497); the corresponding Denisovan correlation was -0.462. Partial distance correlations from the expanded descriptive models were -0.369 and -0.326. Distance-only R-squared values were 0.247 and 0.213; expanded-model values were 0.546 and 0.511. The QAP distance coefficients per 1,000 km were -0.01892 (P=0.0001) and -0.01918 (P=0.0002) (Figure 1).</w:t>
      </w:r>
    </w:p>
    <w:p>
      <w:pPr>
        <w:spacing w:before="320"/>
        <w:jc w:val="center"/>
      </w:pPr>
      <w:r>
        <w:drawing>
          <wp:inline xmlns:a="http://schemas.openxmlformats.org/drawingml/2006/main" xmlns:pic="http://schemas.openxmlformats.org/drawingml/2006/picture">
            <wp:extent cx="5806440" cy="2714541"/>
            <wp:docPr id="1" name="Picture 1"/>
            <wp:cNvGraphicFramePr>
              <a:graphicFrameLocks noChangeAspect="1"/>
            </wp:cNvGraphicFramePr>
            <a:graphic>
              <a:graphicData uri="http://schemas.openxmlformats.org/drawingml/2006/picture">
                <pic:pic>
                  <pic:nvPicPr>
                    <pic:cNvPr id="0" name="fig1_sharing_vs_distance.png"/>
                    <pic:cNvPicPr/>
                  </pic:nvPicPr>
                  <pic:blipFill>
                    <a:blip r:embed="rId9"/>
                    <a:stretch>
                      <a:fillRect/>
                    </a:stretch>
                  </pic:blipFill>
                  <pic:spPr>
                    <a:xfrm>
                      <a:off x="0" y="0"/>
                      <a:ext cx="5806440" cy="2714541"/>
                    </a:xfrm>
                    <a:prstGeom prst="rect"/>
                  </pic:spPr>
                </pic:pic>
              </a:graphicData>
            </a:graphic>
          </wp:inline>
        </w:drawing>
      </w:r>
    </w:p>
    <w:p>
      <w:pPr>
        <w:spacing w:before="200" w:line="276" w:lineRule="auto"/>
      </w:pPr>
      <w:r>
        <w:rPr>
          <w:b/>
        </w:rPr>
        <w:t xml:space="preserve">Figure 1. </w:t>
      </w:r>
      <w:r>
        <w:t>Archaic-segment profile similarity and geographic distance. Each point is a dependent population pair. Lines are descriptive distance-only fits; reported P values use population-label QAP permutations.</w:t>
      </w:r>
    </w:p>
    <w:p>
      <w:pPr>
        <w:pStyle w:val="Heading2"/>
      </w:pPr>
      <w:r>
        <w:t>Population structure</w:t>
      </w:r>
    </w:p>
    <w:p>
      <w:pPr>
        <w:ind w:firstLine="432"/>
      </w:pPr>
      <w:r>
        <w:rPr>
          <w:rFonts w:ascii="Times New Roman" w:hAnsi="Times New Roman"/>
          <w:i w:val="0"/>
          <w:sz w:val="24"/>
        </w:rPr>
        <w:t>The representative heat maps showed broad regional blocks and a stronger Oceanian contrast in the Denisovan profile (Figure 2). The complete 66-population heat map is provided as Figure S1.</w:t>
      </w:r>
    </w:p>
    <w:p>
      <w:pPr>
        <w:spacing w:before="320"/>
        <w:jc w:val="center"/>
      </w:pPr>
      <w:r>
        <w:drawing>
          <wp:inline xmlns:a="http://schemas.openxmlformats.org/drawingml/2006/main" xmlns:pic="http://schemas.openxmlformats.org/drawingml/2006/picture">
            <wp:extent cx="5806440" cy="2695784"/>
            <wp:docPr id="2" name="Picture 2"/>
            <wp:cNvGraphicFramePr>
              <a:graphicFrameLocks noChangeAspect="1"/>
            </wp:cNvGraphicFramePr>
            <a:graphic>
              <a:graphicData uri="http://schemas.openxmlformats.org/drawingml/2006/picture">
                <pic:pic>
                  <pic:nvPicPr>
                    <pic:cNvPr id="0" name="fig2_sharing_heatmap.png"/>
                    <pic:cNvPicPr/>
                  </pic:nvPicPr>
                  <pic:blipFill>
                    <a:blip r:embed="rId10"/>
                    <a:stretch>
                      <a:fillRect/>
                    </a:stretch>
                  </pic:blipFill>
                  <pic:spPr>
                    <a:xfrm>
                      <a:off x="0" y="0"/>
                      <a:ext cx="5806440" cy="2695784"/>
                    </a:xfrm>
                    <a:prstGeom prst="rect"/>
                  </pic:spPr>
                </pic:pic>
              </a:graphicData>
            </a:graphic>
          </wp:inline>
        </w:drawing>
      </w:r>
    </w:p>
    <w:p>
      <w:pPr>
        <w:spacing w:before="200" w:line="276" w:lineRule="auto"/>
      </w:pPr>
      <w:r>
        <w:rPr>
          <w:b/>
        </w:rPr>
        <w:t xml:space="preserve">Figure 2. </w:t>
      </w:r>
      <w:r>
        <w:t>Pairwise archaic-segment profile similarity for 31 populations selected for visual legibility and ordered by geographic region; all 66 populations were analyzed (see Figure S1).</w:t>
      </w:r>
    </w:p>
    <w:p>
      <w:pPr>
        <w:pStyle w:val="Heading2"/>
      </w:pPr>
      <w:r>
        <w:t>Robustness analyses</w:t>
      </w:r>
    </w:p>
    <w:p>
      <w:pPr>
        <w:ind w:firstLine="432"/>
      </w:pPr>
      <w:r>
        <w:rPr>
          <w:rFonts w:ascii="Times New Roman" w:hAnsi="Times New Roman"/>
          <w:i w:val="0"/>
          <w:sz w:val="24"/>
        </w:rPr>
        <w:t>Negative distance correlations were examined across admixture exclusions, within-dataset subsets, minimum sample sizes, and regional omissions. Figure 3 shows the effect of excluding designated recently admixed populations, and Figure 4 shows window-size results at 250 kb, 500 kb, and 1 Mb. These analyses were treated as robustness checks rather than independent confirmatory tests.</w:t>
      </w:r>
    </w:p>
    <w:p>
      <w:pPr>
        <w:spacing w:before="320"/>
        <w:jc w:val="center"/>
      </w:pPr>
      <w:r>
        <w:drawing>
          <wp:inline xmlns:a="http://schemas.openxmlformats.org/drawingml/2006/main" xmlns:pic="http://schemas.openxmlformats.org/drawingml/2006/picture">
            <wp:extent cx="5806440" cy="3440471"/>
            <wp:docPr id="3" name="Picture 3"/>
            <wp:cNvGraphicFramePr>
              <a:graphicFrameLocks noChangeAspect="1"/>
            </wp:cNvGraphicFramePr>
            <a:graphic>
              <a:graphicData uri="http://schemas.openxmlformats.org/drawingml/2006/picture">
                <pic:pic>
                  <pic:nvPicPr>
                    <pic:cNvPr id="0" name="fig4_sensitivity_admixed.png"/>
                    <pic:cNvPicPr/>
                  </pic:nvPicPr>
                  <pic:blipFill>
                    <a:blip r:embed="rId11"/>
                    <a:stretch>
                      <a:fillRect/>
                    </a:stretch>
                  </pic:blipFill>
                  <pic:spPr>
                    <a:xfrm>
                      <a:off x="0" y="0"/>
                      <a:ext cx="5806440" cy="3440471"/>
                    </a:xfrm>
                    <a:prstGeom prst="rect"/>
                  </pic:spPr>
                </pic:pic>
              </a:graphicData>
            </a:graphic>
          </wp:inline>
        </w:drawing>
      </w:r>
    </w:p>
    <w:p>
      <w:pPr>
        <w:spacing w:before="200" w:line="276" w:lineRule="auto"/>
      </w:pPr>
      <w:r>
        <w:rPr>
          <w:b/>
        </w:rPr>
        <w:t xml:space="preserve">Figure 3. </w:t>
      </w:r>
      <w:r>
        <w:t>Sensitivity of the descriptive Neanderthal distance correlation to exclusion of designated recently admixed populations.</w:t>
      </w:r>
    </w:p>
    <w:p>
      <w:pPr>
        <w:spacing w:before="320"/>
        <w:jc w:val="center"/>
      </w:pPr>
      <w:r>
        <w:drawing>
          <wp:inline xmlns:a="http://schemas.openxmlformats.org/drawingml/2006/main" xmlns:pic="http://schemas.openxmlformats.org/drawingml/2006/picture">
            <wp:extent cx="5806440" cy="3705395"/>
            <wp:docPr id="4" name="Picture 4"/>
            <wp:cNvGraphicFramePr>
              <a:graphicFrameLocks noChangeAspect="1"/>
            </wp:cNvGraphicFramePr>
            <a:graphic>
              <a:graphicData uri="http://schemas.openxmlformats.org/drawingml/2006/picture">
                <pic:pic>
                  <pic:nvPicPr>
                    <pic:cNvPr id="0" name="fig5_window_sensitivity.png"/>
                    <pic:cNvPicPr/>
                  </pic:nvPicPr>
                  <pic:blipFill>
                    <a:blip r:embed="rId12"/>
                    <a:stretch>
                      <a:fillRect/>
                    </a:stretch>
                  </pic:blipFill>
                  <pic:spPr>
                    <a:xfrm>
                      <a:off x="0" y="0"/>
                      <a:ext cx="5806440" cy="3705395"/>
                    </a:xfrm>
                    <a:prstGeom prst="rect"/>
                  </pic:spPr>
                </pic:pic>
              </a:graphicData>
            </a:graphic>
          </wp:inline>
        </w:drawing>
      </w:r>
    </w:p>
    <w:p>
      <w:pPr>
        <w:spacing w:before="200" w:line="276" w:lineRule="auto"/>
      </w:pPr>
      <w:r>
        <w:rPr>
          <w:b/>
        </w:rPr>
        <w:t xml:space="preserve">Figure 4. </w:t>
      </w:r>
      <w:r>
        <w:t>Descriptive geographic distance correlations at 250-kb, 500-kb, and 1-Mb window sizes. QAP results are tabulated in Supplementary Data.</w:t>
      </w:r>
    </w:p>
    <w:p>
      <w:pPr>
        <w:pStyle w:val="Heading2"/>
      </w:pPr>
      <w:r>
        <w:t>Residual outlier testing</w:t>
      </w:r>
    </w:p>
    <w:p>
      <w:pPr>
        <w:ind w:firstLine="432"/>
      </w:pPr>
      <w:r>
        <w:rPr>
          <w:rFonts w:ascii="Times New Roman" w:hAnsi="Times New Roman"/>
          <w:i w:val="0"/>
          <w:sz w:val="24"/>
        </w:rPr>
        <w:t>No non-admixed pair met both the positive-residual z&gt;2 criterion and Benjamini-Hochberg q&lt;0.10 for either ancestry category. Nominal residual ranks are retained in the full pairwise data table for auditability but are not interpreted as statistically supported population connections (Table 1).</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p>
      <w:pPr>
        <w:pStyle w:val="Heading2"/>
      </w:pPr>
      <w:r>
        <w:t>Prespecified ABO-window check</w:t>
      </w:r>
    </w:p>
    <w:p>
      <w:pPr>
        <w:ind w:firstLine="432"/>
      </w:pPr>
      <w:r>
        <w:rPr>
          <w:rFonts w:ascii="Times New Roman" w:hAnsi="Times New Roman"/>
          <w:i w:val="0"/>
          <w:sz w:val="24"/>
        </w:rPr>
        <w:t>As a prespecified focal-locus check, the 500-kb ABO-centred scan identified 834 Neanderthal or Both source segments, of which 129 overlapped the ABO gene and 247 were tied for maximum reference similarity. In the Indigenous American HGDP subset only two segments among 41 represented individuals fell in the interval. Both observations fall within the genome-wide expectation, and this focal scan produced no route-level signal. Exploratory segment-level compositions and counts are provided as Supplementary material (Figure S2; Table S1) and are not interpreted as regional proportions or migration routes.</w:t>
      </w:r>
    </w:p>
    <w:p>
      <w:pPr>
        <w:pStyle w:val="Heading2"/>
      </w:pPr>
      <w:r>
        <w:t>Contextual displays</w:t>
      </w:r>
    </w:p>
    <w:p>
      <w:pPr>
        <w:ind w:firstLine="432"/>
      </w:pPr>
      <w:r>
        <w:rPr>
          <w:rFonts w:ascii="Times New Roman" w:hAnsi="Times New Roman"/>
          <w:i w:val="0"/>
          <w:sz w:val="24"/>
        </w:rPr>
        <w:t>Several descriptive context panels are provided as supplementary figures because they do not derive from the pairwise analysis. The O2-defining allele and ABO-window carrier summaries use different sources and are displayed descriptively rather than as an association analysis (Figure S3). Ancient and modern ABO-window observations were produced by different pipelines and permit no formal temporal comparison (Figure S4). A bivariate global map summarising each population's mean Neanderthal and Denisovan segment coverage from the present profiles provides broad geographic context and was not used in the statistical models (Figure S5).</w:t>
      </w:r>
    </w:p>
    <w:p>
      <w:pPr>
        <w:pStyle w:val="Heading1"/>
      </w:pPr>
      <w:r>
        <w:t>Discussion</w:t>
      </w:r>
    </w:p>
    <w:p>
      <w:pPr>
        <w:ind w:firstLine="432"/>
      </w:pPr>
      <w:r>
        <w:rPr>
          <w:rFonts w:ascii="Times New Roman" w:hAnsi="Times New Roman"/>
          <w:i w:val="0"/>
          <w:sz w:val="24"/>
        </w:rPr>
        <w:t>The principal contribution of this study is not a new archaic signal but a reproducible, dependence-aware negative control. After correcting the population-frequency construction, both Neanderthal and Denisovan profile similarities retained negative geographic associations, so this pattern is not an artifact of allowing fragmented segments to contribute repeatedly to the same haplotype-window.</w:t>
      </w:r>
    </w:p>
    <w:p>
      <w:pPr>
        <w:ind w:firstLine="432"/>
      </w:pPr>
      <w:r>
        <w:rPr>
          <w:rFonts w:ascii="Times New Roman" w:hAnsi="Times New Roman"/>
          <w:i w:val="0"/>
          <w:sz w:val="24"/>
        </w:rPr>
        <w:t>The population-label permutation is central to interpretation. A dataset of 2,145 pairs does not contain 2,145 independent geographic comparisons because each of 66 populations appears repeatedly. QAP preserves the complete matrix while testing whether the observed distance coefficient is unusual under population relabeling (Krackhardt 1988; Dekker, Krackhardt, and Snijders 2007). The expanded-model R-squared values remain descriptive; coarse same-continent, recent-admixture, and dataset indicators should not be read as causal adjustment.</w:t>
      </w:r>
    </w:p>
    <w:p>
      <w:pPr>
        <w:ind w:firstLine="432"/>
      </w:pPr>
      <w:r>
        <w:rPr>
          <w:rFonts w:ascii="Times New Roman" w:hAnsi="Times New Roman"/>
          <w:i w:val="0"/>
          <w:sz w:val="24"/>
        </w:rPr>
        <w:t>The distance-decay signal is compatible with broad serial demographic structure and the spatial patterning of introgressed sequence described in earlier work (Sankararaman et al. 2014; Sankararaman et al. 2016; Quilodran et al. 2023). It does not identify the timing, direction, or number of migration or introgression events. Population coordinates are approximations, and archaic-call similarity can also reflect callability, allele-frequency differences, linkage, selection, and reference-panel composition.</w:t>
      </w:r>
    </w:p>
    <w:p>
      <w:pPr>
        <w:ind w:firstLine="432"/>
      </w:pPr>
      <w:r>
        <w:rPr>
          <w:rFonts w:ascii="Times New Roman" w:hAnsi="Times New Roman"/>
          <w:i w:val="0"/>
          <w:sz w:val="24"/>
        </w:rPr>
        <w:t>The absence of FDR-supported residual outliers constrains the strongest historical claims. A highly ranked pair cannot be promoted as evidence for a special connection when its pair-specific permutation result does not survive the declared testing family. This is especially important for admixed American populations, for which recent mixture can alter both inferred archaic profiles and geographic interpretations.</w:t>
      </w:r>
    </w:p>
    <w:p>
      <w:pPr>
        <w:ind w:firstLine="432"/>
      </w:pPr>
      <w:r>
        <w:rPr>
          <w:rFonts w:ascii="Times New Roman" w:hAnsi="Times New Roman"/>
          <w:i w:val="0"/>
          <w:sz w:val="24"/>
        </w:rPr>
        <w:t>The ABO analysis illustrates the limits of a focal-locus narrative. ABO has deep allelic history, and selection can affect the persistence of introgressed sequence (Segurel et al. 2012; Petr et al. 2019). Calafell et al. (2008) and Condemi et al. (2021) reported patterns compatible with archaic contribution to or sharing near ABO, which encouraged strong interpretations of a special population connection. Halverson and Bolnick (2008), by contrast, argued that Indigenous American ABO frequencies fit a founder-effect model without invoking an archaic-specific route, and Segurel et al. (2012) showed that a trans-species polymorphism under balancing selection offers an alternative explanation that does not require a unique migration path. Our result adds to this more cautious side of the literature: after accounting for pairwise dependence and the genome-wide geographic baseline, the ABO window is not an outlier. Nevertheless, an inferred segment in a 500-kb interval is not an ABO allele, closest-reference similarity is not a transmission path, and the O2-defining variant cannot be labelled Neanderthal-derived from proximity alone. The focal ABO scan was prespecified as a negative test of the special-connection claim: it asks whether ABO-window sharing exceeds the genome-wide expectation, not whether it traces a migration route. The absence of a route-level signal shows that ABO-window sharing is consistent with the broad geographic structure seen genome-wide.</w:t>
      </w:r>
    </w:p>
    <w:p>
      <w:pPr>
        <w:ind w:firstLine="432"/>
      </w:pPr>
      <w:r>
        <w:rPr>
          <w:rFonts w:ascii="Times New Roman" w:hAnsi="Times New Roman"/>
          <w:i w:val="0"/>
          <w:sz w:val="24"/>
        </w:rPr>
        <w:t>A negative result on the route claim is best read not as an absence of signal but as a constraint that removes one class of explanations. Long shared haplotypes around ABO may reflect balancing selection acting on an ancient trans-species polymorphism (Segurel et al. 2012), recurrent low-level gene flow from multiple archaic sources (Sankararaman et al. 2016; Jacobs et al. 2019), or drift during population bottlenecks (Halverson and Bolnick 2008) rather than a single ABO-marked migration. Technical factors such as reference-panel composition, callable-mask variation, and linkage to nearby selected sites can also modulate where archaic ancestry is detected (Sankararaman et al. 2014; Jacobs et al. 2019). Treating the ABO window as a special-connection marker is therefore only one of several possibilities, and our analysis removes it as a sufficient explanation. Future work can now test the remaining hypotheses with method-matched ancient genomes, phased local genealogies, and explicit community governance.</w:t>
      </w:r>
    </w:p>
    <w:p>
      <w:pPr>
        <w:ind w:firstLine="432"/>
      </w:pPr>
      <w:r>
        <w:rPr>
          <w:rFonts w:ascii="Times New Roman" w:hAnsi="Times New Roman"/>
          <w:i w:val="0"/>
          <w:sz w:val="24"/>
        </w:rPr>
        <w:t>Published Ancient North Eurasian and multiple-founder models provide broader contexts for First American ancestry (Raghavan et al. 2014; Skoglund et al. 2015), but they do not validate a route for either ABO-window segment. Such a claim would require independently sampled ancient genomes, a phased local genealogy, method-matched calling, and explicit community-engaged governance for any new Indigenous genomic analysis.</w:t>
      </w:r>
    </w:p>
    <w:p>
      <w:pPr>
        <w:ind w:firstLine="432"/>
      </w:pPr>
      <w:r>
        <w:rPr>
          <w:rFonts w:ascii="Times New Roman" w:hAnsi="Times New Roman"/>
          <w:i w:val="0"/>
          <w:sz w:val="24"/>
        </w:rPr>
        <w:t>Limitations include modest sizes for several populations, sparse Denisovan calls outside Oceania, centroid-based distances, lack of a common callable mask, and correlation measures that do not distinguish identity by descent from identity by state. The dataset combines two projects, and same-dataset status only partially represents technical heterogeneity. Population-deletion and sensitivity analyses assess stability but cannot replace validation in independent modern and ancient data.</w:t>
      </w:r>
    </w:p>
    <w:p>
      <w:pPr>
        <w:ind w:firstLine="432"/>
      </w:pPr>
      <w:r>
        <w:rPr>
          <w:rFonts w:ascii="Times New Roman" w:hAnsi="Times New Roman"/>
          <w:i w:val="0"/>
          <w:sz w:val="24"/>
        </w:rPr>
        <w:t>The procedure used here is not tied to ABO. Any focal locus or population pair that is read as evidence of a special connection can, in principle, be compared against the same dependence-aware, genome-wide baseline. Applying this protocol to other visible loci, to haplotype-level data that distinguish identity by descent from identity by state, and to ancient genomes with method-matched calling would produce a sequence of testable predictions: balancing-selection targets, multiple introgression pulses, and reference-bias effects can be separated from migration-route claims by the same baseline. ABO is therefore a worked example of a reusable negative-control design rather than the unique subject of the study.</w:t>
      </w:r>
    </w:p>
    <w:p>
      <w:pPr>
        <w:ind w:firstLine="432"/>
      </w:pPr>
      <w:r>
        <w:rPr>
          <w:rFonts w:ascii="Times New Roman" w:hAnsi="Times New Roman"/>
          <w:i w:val="0"/>
          <w:sz w:val="24"/>
        </w:rPr>
        <w:t>In conclusion, across 66 geographically diverse populations, archaic-segment profiles show a broad geographic distance-decay pattern under dependence-aware permutation tests, but the same analysis provides no support for an exceptional population pair, an ABO-mediated migration history, or a specific route through Beringia or island Southeast Asia. The contribution is therefore less a new signal than a reproducible, dependence-aware baseline that narrows the hypothesis space: by combining frequency-constrained profile construction, population-label QAP inference, and explicit FDR control, it offers a reusable negative control against which focal-locus and special-connection archaic claims can be judged.</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r>
        <w:t>Funding: This research received no specific grant from any funding agency in the public, commercial, or not-for-profit sectors.</w:t>
      </w:r>
    </w:p>
    <w:p>
      <w:pPr>
        <w:pStyle w:val="Heading1"/>
      </w:pPr>
      <w:r>
        <w:t>Author Contributions</w:t>
      </w:r>
    </w:p>
    <w:p>
      <w:r>
        <w:t>The author was responsible for conceptualization, methodology, formal analysis, visualization, writing—original draft, and writing—review and editing.</w:t>
      </w:r>
    </w:p>
    <w:p>
      <w:pPr>
        <w:pStyle w:val="Heading1"/>
      </w:pPr>
      <w:r>
        <w:t>Conflict of Interest Statement</w:t>
      </w:r>
    </w:p>
    <w:p>
      <w:r>
        <w:t>The author declares no conflict of interest.</w:t>
      </w:r>
    </w:p>
    <w:p>
      <w:pPr>
        <w:pStyle w:val="Heading1"/>
      </w:pPr>
      <w:r>
        <w:t>Data Archiving</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Analysis scripts, aggregate derived data, figures, and document-generation code are available from the corresponding author and will be archived with a persistent DOI before acceptance. Raw-file SHA-256 checksums and all analysis parameters are included in analysis_provenance.json and ancient_abo_provenance.json.</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1"/>
      </w:pPr>
      <w:r>
        <w:t>References</w:t>
      </w:r>
    </w:p>
    <w:p>
      <w:pPr>
        <w:spacing w:line="276" w:lineRule="auto" w:after="80"/>
        <w:ind w:hanging="360" w:left="360"/>
      </w:pPr>
      <w:r>
        <w:rPr>
          <w:sz w:val="20"/>
        </w:rPr>
        <w:t>1000 Genomes Project Consortium. 2015. A global reference for human genetic variation. Nature 526:68-74. https://doi.org/10.1038/nature15393.</w:t>
      </w:r>
    </w:p>
    <w:p>
      <w:pPr>
        <w:spacing w:line="276" w:lineRule="auto" w:after="80"/>
        <w:ind w:hanging="360" w:left="360"/>
      </w:pPr>
      <w:r>
        <w:rPr>
          <w:sz w:val="20"/>
        </w:rPr>
        <w:t>Benjamini Y, Hochberg Y. 1995. Controlling the false discovery rate: a practical and powerful approach to multiple testing. J R Stat Soc B 57:289-300. https://doi.org/10.1111/j.2517-6161.1995.tb02031.x.</w:t>
      </w:r>
    </w:p>
    <w:p>
      <w:pPr>
        <w:spacing w:line="276" w:lineRule="auto" w:after="80"/>
        <w:ind w:hanging="360" w:left="360"/>
      </w:pPr>
      <w:r>
        <w:rPr>
          <w:sz w:val="20"/>
        </w:rPr>
        <w:t>Bergström A, McCarthy SA, Hui R, et al. 2020. Insights into human genetic variation and population history from 929 diverse genomes. Science 367:eaay5012. https://doi.org/10.1126/science.aay5012.</w:t>
      </w:r>
    </w:p>
    <w:p>
      <w:pPr>
        <w:spacing w:line="276" w:lineRule="auto" w:after="80"/>
        <w:ind w:hanging="360" w:left="360"/>
      </w:pPr>
      <w:r>
        <w:rPr>
          <w:sz w:val="20"/>
        </w:rPr>
        <w:t>Calafell F, Roubinet F, Ramirez-Soriano A, et al. 2008. Evolutionary dynamics of the human ABO gene. Hum Genet 124:123-135. https://doi.org/10.1007/s00439-008-0530-8.</w:t>
      </w:r>
    </w:p>
    <w:p>
      <w:pPr>
        <w:spacing w:line="276" w:lineRule="auto" w:after="80"/>
        <w:ind w:hanging="360" w:left="360"/>
      </w:pPr>
      <w:r>
        <w:rPr>
          <w:sz w:val="20"/>
        </w:rPr>
        <w:t>Carroll SR, Garba I, Figueroa-Rodríguez OL, et al. 2020. The CARE principles for indigenous data governance. Data Sci J 19:43. https://doi.org/10.5334/dsj-2020-043.</w:t>
      </w:r>
    </w:p>
    <w:p>
      <w:pPr>
        <w:spacing w:line="276" w:lineRule="auto" w:after="80"/>
        <w:ind w:hanging="360" w:left="360"/>
      </w:pPr>
      <w:r>
        <w:rPr>
          <w:sz w:val="20"/>
        </w:rPr>
        <w:t>Claw KG, Lippert D, Bardill J, et al. 2018. A framework for enhancing ethical genomic research with Indigenous communities. Nat Commun 9:2957. https://doi.org/10.1038/s41467-018-05188-3.</w:t>
      </w:r>
    </w:p>
    <w:p>
      <w:pPr>
        <w:spacing w:line="276" w:lineRule="auto" w:after="80"/>
        <w:ind w:hanging="360" w:left="360"/>
      </w:pPr>
      <w:r>
        <w:rPr>
          <w:sz w:val="20"/>
        </w:rPr>
        <w:t>Condemi S, Mazières A, Faux P, et al. 2021. Blood groups of Neandertals and Denisova decrypted. PLoS ONE 16:e0254175. https://doi.org/10.1371/journal.pone.0254175.</w:t>
      </w:r>
    </w:p>
    <w:p>
      <w:pPr>
        <w:spacing w:line="276" w:lineRule="auto" w:after="80"/>
        <w:ind w:hanging="360" w:left="360"/>
      </w:pPr>
      <w:r>
        <w:rPr>
          <w:sz w:val="20"/>
        </w:rPr>
        <w:t>Dekker D, Krackhardt D, Snijders TAB. 2007. Sensitivity of MRQAP tests to collinearity and autocorrelation conditions. Psychometrika 72:563-581. https://doi.org/10.1007/s11336-007-9016-1.</w:t>
      </w:r>
    </w:p>
    <w:p>
      <w:pPr>
        <w:spacing w:line="276" w:lineRule="auto" w:after="80"/>
        <w:ind w:hanging="360" w:left="360"/>
      </w:pPr>
      <w:r>
        <w:rPr>
          <w:sz w:val="20"/>
        </w:rPr>
        <w:t>Green RE, Krause J, Briggs AW, et al. 2010. A draft sequence of the Neandertal genome. Science 328:710-722. https://doi.org/10.1126/science.1188021.</w:t>
      </w:r>
    </w:p>
    <w:p>
      <w:pPr>
        <w:spacing w:line="276" w:lineRule="auto" w:after="80"/>
        <w:ind w:hanging="360" w:left="360"/>
      </w:pPr>
      <w:r>
        <w:rPr>
          <w:sz w:val="20"/>
        </w:rPr>
        <w:t>Halverson MS, Bolnick DA. 2008. An ancient DNA test of a founder effect in Native American ABO blood group frequencies. Am J Phys Anthropol 137:342-347. https://doi.org/10.1002/ajpa.20887.</w:t>
      </w:r>
    </w:p>
    <w:p>
      <w:pPr>
        <w:spacing w:line="276" w:lineRule="auto" w:after="80"/>
        <w:ind w:hanging="360" w:left="360"/>
      </w:pPr>
      <w:r>
        <w:rPr>
          <w:sz w:val="20"/>
        </w:rPr>
        <w:t>Iasi LNM, Chintalapati M, Skov L, et al. 2024. Neanderthal ancestry through time: insights from genomes of ancient and present-day humans. Science 386:eadq3010. https://doi.org/10.1126/science.adq3010.</w:t>
      </w:r>
    </w:p>
    <w:p>
      <w:pPr>
        <w:spacing w:line="276" w:lineRule="auto" w:after="80"/>
        <w:ind w:hanging="360" w:left="360"/>
      </w:pPr>
      <w:r>
        <w:rPr>
          <w:sz w:val="20"/>
        </w:rPr>
        <w:t>Jacobs GS, Hudjashov G, Saag L, et al. 2019. Multiple deeply divergent Denisovan ancestries in Papuans. Cell 177:1010-1021.e32. https://doi.org/10.1016/j.cell.2019.02.035.</w:t>
      </w:r>
    </w:p>
    <w:p>
      <w:pPr>
        <w:spacing w:line="276" w:lineRule="auto" w:after="80"/>
        <w:ind w:hanging="360" w:left="360"/>
      </w:pPr>
      <w:r>
        <w:rPr>
          <w:sz w:val="20"/>
        </w:rPr>
        <w:t>Krackhardt D. 1988. Predicting with networks: nonparametric multiple regression analysis of dyadic data. Soc Networks 10:359-381. https://doi.org/10.1016/0378-8733(88)90004-4.</w:t>
      </w:r>
    </w:p>
    <w:p>
      <w:pPr>
        <w:spacing w:line="276" w:lineRule="auto" w:after="80"/>
        <w:ind w:hanging="360" w:left="360"/>
      </w:pPr>
      <w:r>
        <w:rPr>
          <w:sz w:val="20"/>
        </w:rPr>
        <w:t>Mantel N. 1967. The detection of disease clustering and a generalized regression approach. Cancer Res 27:209-220.</w:t>
      </w:r>
    </w:p>
    <w:p>
      <w:pPr>
        <w:spacing w:line="276" w:lineRule="auto" w:after="80"/>
        <w:ind w:hanging="360" w:left="360"/>
      </w:pPr>
      <w:r>
        <w:rPr>
          <w:sz w:val="20"/>
        </w:rPr>
        <w:t>Ohashi J, Naka I, Kimura R, et al. 2006. Polymorphisms in the ABO blood group gene in three populations in the New Georgia Group of the Solomon Islands. J Hum Genet 51:407-411. https://doi.org/10.1007/s10038-006-0375-8.</w:t>
      </w:r>
    </w:p>
    <w:p>
      <w:pPr>
        <w:spacing w:line="276" w:lineRule="auto" w:after="80"/>
        <w:ind w:hanging="360" w:left="360"/>
      </w:pPr>
      <w:r>
        <w:rPr>
          <w:sz w:val="20"/>
        </w:rPr>
        <w:t>Petr M, Pääbo S, Kelso J, Vernot B. 2019. Limits of long-term selection against Neandertal introgression. Proc Natl Acad Sci USA 116:1639-1644. https://doi.org/10.1073/pnas.1814338116.</w:t>
      </w:r>
    </w:p>
    <w:p>
      <w:pPr>
        <w:spacing w:line="276" w:lineRule="auto" w:after="80"/>
        <w:ind w:hanging="360" w:left="360"/>
      </w:pPr>
      <w:r>
        <w:rPr>
          <w:sz w:val="20"/>
        </w:rPr>
        <w:t>Prüfer K, de Filippo C, Grote S, et al. 2017. A high-coverage Neandertal genome from Vindija Cave in Croatia. Science 358:655-658. https://doi.org/10.1126/science.aao1887.</w:t>
      </w:r>
    </w:p>
    <w:p>
      <w:pPr>
        <w:spacing w:line="276" w:lineRule="auto" w:after="80"/>
        <w:ind w:hanging="360" w:left="360"/>
      </w:pPr>
      <w:r>
        <w:rPr>
          <w:sz w:val="20"/>
        </w:rPr>
        <w:t>Quilodran CS, Rio J, Tsoupas A, Currat M. 2023. Past human expansions shaped the spatial pattern of Neanderthal ancestry. Sci Adv 9:eadg9817. https://doi.org/10.1126/sciadv.adg9817.</w:t>
      </w:r>
    </w:p>
    <w:p>
      <w:pPr>
        <w:spacing w:line="276" w:lineRule="auto" w:after="80"/>
        <w:ind w:hanging="360" w:left="360"/>
      </w:pPr>
      <w:r>
        <w:rPr>
          <w:sz w:val="20"/>
        </w:rPr>
        <w:t>Raghavan M, Skoglund P, Graf KE, et al. 2014. Upper Palaeolithic Siberian genome reveals dual ancestry of Native Americans. Nature 505:87-91. https://doi.org/10.1038/nature12736.</w:t>
      </w:r>
    </w:p>
    <w:p>
      <w:pPr>
        <w:spacing w:line="276" w:lineRule="auto" w:after="80"/>
        <w:ind w:hanging="360" w:left="360"/>
      </w:pPr>
      <w:r>
        <w:rPr>
          <w:sz w:val="20"/>
        </w:rPr>
        <w:t>Reich D, Green RE, Kircher M, et al. 2010. Genetic history of an archaic hominin group from Denisova Cave in Siberia. Nature 468:1053-1060. https://doi.org/10.1038/nature09710.</w:t>
      </w:r>
    </w:p>
    <w:p>
      <w:pPr>
        <w:spacing w:line="276" w:lineRule="auto" w:after="80"/>
        <w:ind w:hanging="360" w:left="360"/>
      </w:pPr>
      <w:r>
        <w:rPr>
          <w:sz w:val="20"/>
        </w:rPr>
        <w:t>Sankararaman S, Mallick S, Dannemann M, et al. 2014. The genomic landscape of Neanderthal ancestry in present-day humans. Nature 507:354-357. https://doi.org/10.1038/nature12961.</w:t>
      </w:r>
    </w:p>
    <w:p>
      <w:pPr>
        <w:spacing w:line="276" w:lineRule="auto" w:after="80"/>
        <w:ind w:hanging="360" w:left="360"/>
      </w:pPr>
      <w:r>
        <w:rPr>
          <w:sz w:val="20"/>
        </w:rPr>
        <w:t>Sankararaman S, Mallick S, Patterson N, Reich D. 2016. The combined landscape of Denisovan and Neanderthal ancestry in present-day humans. Curr Biol 26:1241-1247. https://doi.org/10.1016/j.cub.2016.03.037.</w:t>
      </w:r>
    </w:p>
    <w:p>
      <w:pPr>
        <w:spacing w:line="276" w:lineRule="auto" w:after="80"/>
        <w:ind w:hanging="360" w:left="360"/>
      </w:pPr>
      <w:r>
        <w:rPr>
          <w:sz w:val="20"/>
        </w:rPr>
        <w:t>Segurel L, Thompson EE, Flutre T, et al. 2012. The ABO blood group is a trans-species polymorphism in primates. Proc Natl Acad Sci USA 109:18493-18498. https://doi.org/10.1073/pnas.1210603109.</w:t>
      </w:r>
    </w:p>
    <w:p>
      <w:pPr>
        <w:spacing w:line="276" w:lineRule="auto" w:after="80"/>
        <w:ind w:hanging="360" w:left="360"/>
      </w:pPr>
      <w:r>
        <w:rPr>
          <w:sz w:val="20"/>
        </w:rPr>
        <w:t>Skoglund P, Mallick S, Bortolini MC, et al. 2015. Genetic evidence for two founding populations of the Americas. Nature 525:104-108. https://doi.org/10.1038/nature14895.</w:t>
      </w:r>
    </w:p>
    <w:p>
      <w:pPr>
        <w:spacing w:line="276" w:lineRule="auto" w:after="80"/>
        <w:ind w:hanging="360" w:left="360"/>
      </w:pPr>
      <w:r>
        <w:rPr>
          <w:sz w:val="20"/>
        </w:rPr>
        <w:t>Skov L, Hui R, Shchur V, et al. 2018. Detecting archaic introgression using an unadmixed outgroup. PLoS Genet 14:e1007641. https://doi.org/10.1371/journal.pgen.1007641.</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not special connections: a dependence-aware baseline for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