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t>Onishi Tatsuki</w:t>
      </w:r>
    </w:p>
    <w:p>
      <w:pPr>
        <w:spacing w:after="40"/>
      </w:pPr>
      <w:r>
        <w:t>Data Science and AI Innovation Research Promotion Center, Shiga University, Hikone, Japan</w:t>
      </w:r>
    </w:p>
    <w:p>
      <w:pPr>
        <w:spacing w:after="40"/>
      </w:pPr>
      <w:r>
        <w:t>bougtoir@gmail.com</w:t>
      </w:r>
    </w:p>
    <w:p>
      <w:pPr>
        <w:spacing w:after="40"/>
      </w:pPr>
      <w:r>
        <w:t>ORCID: 0000-0001-7261-9062</w:t>
      </w:r>
    </w:p>
    <w:p>
      <w:pPr>
        <w:spacing w:after="40"/>
      </w:pPr>
      <w:r>
        <w:t>9 September 2026</w:t>
      </w:r>
    </w:p>
    <w:p/>
    <w:p>
      <w:r>
        <w:t>The Editors-in-Chief</w:t>
      </w:r>
    </w:p>
    <w:p>
      <w:r>
        <w:t>Transport Economics and Management</w:t>
      </w:r>
    </w:p>
    <w:p>
      <w:r>
        <w:t>Elsevier</w:t>
      </w:r>
    </w:p>
    <w:p/>
    <w:p>
      <w:r>
        <w:t>Dear Editors,</w:t>
      </w:r>
    </w:p>
    <w:p>
      <w:pPr>
        <w:jc w:val="both"/>
      </w:pPr>
      <w:r>
        <w:t>I submit the manuscript "Lifecycle Data Exposure in Shared Micromobility: A Scoping Review and Audit of Public Vehicle Feeds and Operator Disclosures" for consideration as a research article in Transport Economics and Management.</w:t>
      </w:r>
    </w:p>
    <w:p>
      <w:pPr>
        <w:jc w:val="both"/>
      </w:pPr>
      <w:r>
        <w:t>Shared micromobility is a globally deployed transport service that cities procure through permits and concessions but do not operate themselves. The manuscript treats the city-operator relationship as a contract under information asymmetry and asks what a procuring organization can actually observe about lifecycle data handling from public sources. It reports an empirical, reproducible package: a PRISMA-ScR scoping review that maps the direct evidence for data exposure; a global audit of public GBFS feeds that measures which vehicle fields operators publish; and a structured audit of public operator privacy notices across 14 disclosure domains.</w:t>
      </w:r>
    </w:p>
    <w:p>
      <w:pPr>
        <w:jc w:val="both"/>
      </w:pPr>
      <w:r>
        <w:t>The work fits the scope of Transport Economics and Management - transportation business, management, and economic policy across all modes - because it turns worldwide disclosure practice into observable governance indicators for procurement, concession design, and operator benchmarking, and because it shows where contractual monitoring must rely on audit or reporting clauses rather than on public verification. The framing builds on the transport literature on e-scooter regulation and smart-mobility governance and on the incomplete-contracting view of contracted-out public services. Each finding is tied to the actors bearing the risk, the management controls that could address it, the strength of the supporting evidence, and the stage at which verification effort would fall on operators. Throughout, we treat field presence and document silence as disclosure and evidence signals rather than as proof of harm, compromise, or regulatory violation, and we state the effectiveness of proposed controls conservatively as not yet validated.</w:t>
      </w:r>
    </w:p>
    <w:p>
      <w:pPr>
        <w:jc w:val="both"/>
      </w:pPr>
      <w:r>
        <w:t>The study analyzed only publicly accessible feeds and documents; it did not attempt authentication or access-control circumvention, did not interact with users, and retained no raw identifiers, exact coordinates, or vehicle deep links. Consistent with the journal's double-anonymized peer review, the manuscript file contains no identifying information; the anonymised repository link and the public repository URL will be disclosed on acceptance. All data, coding sheets, and code are available so that every reported count can be regenerated with a single command. The manuscript is original and is not under consideration elsewhere. There is no funding or competing interest to declare; generative AI tools were used only for language editing, as declared in the manuscript. I understand that Transport Economics and Management is an open access journal and accept the article publishing charge terms should the manuscript be accepted.</w:t>
      </w:r>
    </w:p>
    <w:p>
      <w:pPr>
        <w:jc w:val="both"/>
      </w:pPr>
      <w:r>
        <w:t>Thank you for considering this submission.</w:t>
      </w:r>
    </w:p>
    <w:p>
      <w:r>
        <w:t>Sincerely,</w:t>
      </w:r>
    </w:p>
    <w:p>
      <w:r>
        <w:t>Onishi Tatsuki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