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Highlights</w:t>
      </w:r>
    </w:p>
    <w:p>
      <w:pPr>
        <w:pStyle w:val="ListBullet"/>
      </w:pPr>
      <w:r>
        <w:t>Scoping review of 2,169 records yields 18 direct micromobility studies.</w:t>
      </w:r>
    </w:p>
    <w:p>
      <w:pPr>
        <w:pStyle w:val="ListBullet"/>
      </w:pPr>
      <w:r>
        <w:t>Public vehicle feeds disclose persistent identifiers and GPS almost everywhere.</w:t>
      </w:r>
    </w:p>
    <w:p>
      <w:pPr>
        <w:pStyle w:val="ListBullet"/>
      </w:pPr>
      <w:r>
        <w:t>No audited privacy notice addressed vulnerability reporting or device disposal.</w:t>
      </w:r>
    </w:p>
    <w:p>
      <w:pPr>
        <w:pStyle w:val="ListBullet"/>
      </w:pPr>
      <w:r>
        <w:t>A reproducible lifecycle model links evidence strength to management controls.</w:t>
      </w:r>
    </w:p>
    <w:p>
      <w:pPr>
        <w:pStyle w:val="ListBullet"/>
      </w:pPr>
      <w:r>
        <w:t>Disclosure gaps are observable indicators for concession design and procurement.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