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Lifecycle Data Exposure in Shared Micromobility: A Scoping Review and Audit of Public Vehicle Feeds and Operator Disclosures</w:t>
      </w:r>
    </w:p>
    <w:p>
      <w:pPr>
        <w:jc w:val="center"/>
      </w:pPr>
      <w:r>
        <w:rPr>
          <w:i/>
          <w:sz w:val="20"/>
        </w:rPr>
        <w:t>Author and affiliation details removed for double-masked peer review</w:t>
      </w:r>
    </w:p>
    <w:p>
      <w:pPr>
        <w:pStyle w:val="Heading1"/>
      </w:pPr>
      <w:r>
        <w:t>Abstract</w:t>
      </w:r>
    </w:p>
    <w:p>
      <w:pPr>
        <w:jc w:val="both"/>
      </w:pPr>
      <w:r>
        <w:t>Shared micromobility - dockless electric scooters and bicycles rented via smartphone - is a globally deployed transport service that cities procure through permits and concessions but do not operate. Because the operator alone observes what its vehicles collect and retain, public disclosure is the information about operator practice that a procuring organization can obtain without operator cooperation and use to benchmark operators and allocate liability. This study maps the direct evidence for data exposure across the vehicle lifecycle, measures which vehicle fields operators publish worldwide, and assesses how completely operators disclose lifecycle data handling. A scoping review following the Preferred Reporting Items for Systematic Reviews and Meta-Analyses extension for Scoping Reviews (PRISMA-ScR) of 2,169 records yielded 18 direct studies, with the strongest evidence at the operation stage. A cross-sectional audit of 1,428 reachable public General Bikeshare Feed Specification (GBFS) feeds, reported with 95% Wilson confidence intervals (CIs), found vehicle identifiers in 100.0% and positions in 99.4% of motorized feeds, but battery percentage in only 68.9%. A disclosure audit of 13 operator privacy notices showed that operational data handling is documented thoroughly, but none addressed device disposal and none described a vulnerability-reporting channel. These findings are disclosure and evidence signals, not demonstrations of harm. A reproducible lifecycle model ties each stage to the strength of its evidence and to governance controls, and shows that assessment for procurement and concession design should move beyond real-time location and concentrate contractual monitoring on the end-of-life stages where public verification is weakest.</w:t>
      </w:r>
    </w:p>
    <w:p>
      <w:pPr>
        <w:pStyle w:val="Heading1"/>
      </w:pPr>
      <w:r>
        <w:t>Highlights</w:t>
      </w:r>
    </w:p>
    <w:p>
      <w:pPr>
        <w:pStyle w:val="ListBullet"/>
      </w:pPr>
      <w:r>
        <w:t>Scoping review of 2,169 records yields 18 direct micromobility studies.</w:t>
      </w:r>
    </w:p>
    <w:p>
      <w:pPr>
        <w:pStyle w:val="ListBullet"/>
      </w:pPr>
      <w:r>
        <w:t>Public vehicle feeds disclose persistent identifiers and GPS almost everywhere.</w:t>
      </w:r>
    </w:p>
    <w:p>
      <w:pPr>
        <w:pStyle w:val="ListBullet"/>
      </w:pPr>
      <w:r>
        <w:t>No audited privacy notice addressed vulnerability reporting or device disposal.</w:t>
      </w:r>
    </w:p>
    <w:p>
      <w:pPr>
        <w:pStyle w:val="ListBullet"/>
      </w:pPr>
      <w:r>
        <w:t>A reproducible lifecycle model links evidence strength to management controls.</w:t>
      </w:r>
    </w:p>
    <w:p>
      <w:pPr>
        <w:pStyle w:val="ListBullet"/>
      </w:pPr>
      <w:r>
        <w:t>Disclosure gaps are observable indicators for concession design and procurement.</w:t>
      </w:r>
    </w:p>
    <w:p>
      <w:r>
        <w:rPr>
          <w:b/>
        </w:rPr>
        <w:t xml:space="preserve">Keywords: </w:t>
      </w:r>
      <w:r>
        <w:t>shared micromobility; data governance; location privacy; procurement; concession design; GBFS</w:t>
      </w:r>
    </w:p>
    <w:p>
      <w:pPr>
        <w:spacing w:before="120"/>
      </w:pPr>
      <w:r>
        <w:rPr>
          <w:b/>
          <w:sz w:val="20"/>
        </w:rPr>
        <w:t xml:space="preserve">Abbreviations: </w:t>
      </w:r>
      <w:r>
        <w:rPr>
          <w:sz w:val="20"/>
        </w:rPr>
        <w:t>GBFS, General Bikeshare Feed Specification; PRISMA-ScR, Preferred Reporting Items for Systematic Reviews and Meta-Analyses extension for Scoping Reviews; CI, confidence interval.</w:t>
      </w:r>
    </w:p>
    <w:p>
      <w:pPr>
        <w:pStyle w:val="Heading1"/>
      </w:pPr>
      <w:r>
        <w:t>1. Introduction</w:t>
      </w:r>
    </w:p>
    <w:p>
      <w:pPr>
        <w:ind w:firstLine="432"/>
        <w:jc w:val="both"/>
      </w:pPr>
      <w:r>
        <w:rPr>
          <w:rFonts w:ascii="Times New Roman" w:hAnsi="Times New Roman"/>
          <w:sz w:val="24"/>
        </w:rPr>
        <w:t>Shared micromobility - dockless electric scooters and bicycles rented through a smartphone application - has become a visible class of connected devices that organizations and the public use but do not own, maintain, or decommission. Each vehicle continuously produces location, motion, and battery telemetry that is transmitted to an operator backend and, in many cities, republished through open data feeds. Prior work has shown that such telemetry can support re-identification and tracking well beyond the individual rental that generated it [1,2].</w:t>
      </w:r>
    </w:p>
    <w:p>
      <w:pPr>
        <w:ind w:firstLine="432"/>
        <w:jc w:val="both"/>
      </w:pPr>
      <w:r>
        <w:rPr>
          <w:rFonts w:ascii="Times New Roman" w:hAnsi="Times New Roman"/>
          <w:sz w:val="24"/>
        </w:rPr>
        <w:t>Transport economics and management scholarship has examined how cities regulate, permit, and integrate e-scooter and bikeshare operators [3,4] and how the governance of smart mobility shifts control over service data toward private platforms [5,6], but it has devoted less attention to the data-governance implications of procuring connected vehicles whose telemetry is collected by a third-party operator and, in many cities, republished in open data feeds. Economically, the relationship between a city or procuring organization and a micromobility operator is a principal-agent contract under information asymmetry: the operator observes what its vehicles collect, retain, and transmit across the lifecycle, whereas the principal observes only what is published in feeds and privacy notices. Data handling is, in the terms of the incomplete-contracting literature on contracting out public services, a quality dimension that is costly to specify and verify [7]. Concession and procurement clauses are the instruments through which that asymmetry is managed, because they shape who owns, retains, and must protect data, and public disclosure is the information about operator practice that a principal can obtain without cooperation from the operator, which it can use to benchmark operators, specify data-related obligations, and allocate liability. Privacy considerations have been raised for mobility-as-a-service platforms [8]; here we extend that concern from platform data to the vehicle lifecycle. Measuring what is actually disclosed is therefore a management question, not merely a technical one.</w:t>
      </w:r>
    </w:p>
    <w:p>
      <w:pPr>
        <w:ind w:firstLine="432"/>
        <w:jc w:val="both"/>
      </w:pPr>
      <w:r>
        <w:rPr>
          <w:rFonts w:ascii="Times New Roman" w:hAnsi="Times New Roman"/>
          <w:sz w:val="24"/>
        </w:rPr>
        <w:t>Security research on shared micromobility has grown quickly but unevenly. Studies span privacy measurement of rental applications, firmware and protocol attacks on scooters, location-spoofing threats, and forensic recovery from returned devices [9-12]. These contributions are scattered across security, transportation, and forensics venues, use different threat models and units of analysis, and have not been assembled into a single map of what is actually demonstrated as opposed to argued. As a result, it is difficult to state precisely which data-exposure pathways rest on direct empirical evidence and which rest on analogy.</w:t>
      </w:r>
    </w:p>
    <w:p>
      <w:pPr>
        <w:ind w:firstLine="432"/>
        <w:jc w:val="both"/>
      </w:pPr>
      <w:r>
        <w:rPr>
          <w:rFonts w:ascii="Times New Roman" w:hAnsi="Times New Roman"/>
          <w:sz w:val="24"/>
        </w:rPr>
        <w:t>A second gap concerns exposure that persists across the device lifecycle. Attention typically concentrates on real-time position during a rental, yet information created at deployment, maintenance, recall, and disposal can remain accessible after custody changes hands [13,14]. Battery and diagnostic channels, in particular, can leak activity patterns even when positioning is restricted [15,16]. Whether operators disclose these lifecycle practices to the public is largely unexamined. For transport managers, the consequence is that oversight built around real-time location alone says little about data at rest or about what happens to a vehicle's data when it leaves service.</w:t>
      </w:r>
    </w:p>
    <w:p>
      <w:pPr>
        <w:ind w:firstLine="432"/>
        <w:jc w:val="both"/>
      </w:pPr>
      <w:r>
        <w:rPr>
          <w:rFonts w:ascii="Times New Roman" w:hAnsi="Times New Roman"/>
          <w:sz w:val="24"/>
        </w:rPr>
        <w:t>This article addresses both gaps with an empirical, reproducible package rather than a conceptual argument. We bridge transport management and connected-device data governance by (i) conducting a scoping review, following the Preferred Reporting Items for Systematic Reviews and Meta-Analyses extension for Scoping Reviews (PRISMA-ScR) [17], of evidence on micromobility data exposure; (ii) auditing the fields that operators actually publish worldwide through the General Bikeshare Feed Specification (GBFS) [18]; and (iii) auditing what a matched set of operator privacy notices discloses about collection, retention, transfer, and device end-of-life. Our research questions are: RQ1, what data-exposure pathways in shared micromobility are supported by direct evidence; RQ2, which vehicle-level fields are publicly disclosed, and at what prevalence; and RQ3, how completely do public operator documents describe lifecycle data handling.</w:t>
      </w:r>
    </w:p>
    <w:p>
      <w:pPr>
        <w:ind w:firstLine="432"/>
        <w:jc w:val="both"/>
      </w:pPr>
      <w:r>
        <w:rPr>
          <w:rFonts w:ascii="Times New Roman" w:hAnsi="Times New Roman"/>
          <w:sz w:val="24"/>
        </w:rPr>
        <w:t>We are deliberately conservative about interpretation. Publishing a field, or remaining silent about a practice, is a disclosure signal; it is not by itself evidence of a privacy harm, a compromise, or a regulatory violation. The contribution is a transparent evidence base and a lifecycle model that ties each stage to the strength of its supporting evidence and to controls whose effectiveness remains to be tested.</w:t>
      </w:r>
    </w:p>
    <w:p>
      <w:pPr>
        <w:pStyle w:val="Heading1"/>
      </w:pPr>
      <w:r>
        <w:t>2. Methods</w:t>
      </w:r>
    </w:p>
    <w:p>
      <w:pPr>
        <w:pStyle w:val="Heading2"/>
      </w:pPr>
      <w:r>
        <w:t>2.1. Design and reporting</w:t>
      </w:r>
    </w:p>
    <w:p>
      <w:pPr>
        <w:ind w:firstLine="432"/>
        <w:jc w:val="both"/>
      </w:pPr>
      <w:r>
        <w:rPr>
          <w:rFonts w:ascii="Times New Roman" w:hAnsi="Times New Roman"/>
          <w:sz w:val="24"/>
        </w:rPr>
        <w:t>The study combines three prespecified components: a scoping review (work package WP1), a cross-sectional field audit of public GBFS feeds (WP2), and a structured disclosure audit of public operator documents (WP3). The review component is reported in line with PRISMA-ScR [17] and follows the scoping-review framework of Arksey and O'Malley [19]. Eligibility criteria and data sources for all three components are summarized in Table 1. The protocol, screening rules, coding sheets, and analysis code are openly available so that the counts reported here can be regenerated.</w:t>
      </w:r>
    </w:p>
    <w:p>
      <w:pPr>
        <w:spacing w:before="280" w:after="120"/>
      </w:pPr>
      <w:r>
        <w:rPr>
          <w:b/>
        </w:rPr>
        <w:t>Table 1. Eligibility criteria and data sources for the three study components.</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2340"/>
        <w:gridCol w:w="2340"/>
        <w:gridCol w:w="2340"/>
        <w:gridCol w:w="2340"/>
      </w:tblGrid>
      <w:tr>
        <w:tc>
          <w:tcPr>
            <w:tcW w:type="dxa" w:w="2340"/>
            <w:vAlign w:val="center"/>
            <w:tcMar>
              <w:top w:w="80" w:type="dxa"/>
              <w:start w:w="80" w:type="dxa"/>
              <w:bottom w:w="80" w:type="dxa"/>
              <w:end w:w="80" w:type="dxa"/>
            </w:tcMar>
          </w:tcPr>
          <w:p>
            <w:r>
              <w:rPr>
                <w:rFonts w:ascii="Arial" w:hAnsi="Arial"/>
                <w:b/>
                <w:sz w:val="16"/>
              </w:rPr>
              <w:t>Component</w:t>
            </w:r>
          </w:p>
        </w:tc>
        <w:tc>
          <w:tcPr>
            <w:tcW w:type="dxa" w:w="2340"/>
            <w:vAlign w:val="center"/>
            <w:tcMar>
              <w:top w:w="80" w:type="dxa"/>
              <w:start w:w="80" w:type="dxa"/>
              <w:bottom w:w="80" w:type="dxa"/>
              <w:end w:w="80" w:type="dxa"/>
            </w:tcMar>
          </w:tcPr>
          <w:p>
            <w:r>
              <w:rPr>
                <w:rFonts w:ascii="Arial" w:hAnsi="Arial"/>
                <w:b/>
                <w:sz w:val="16"/>
              </w:rPr>
              <w:t>Unit of analysis</w:t>
            </w:r>
          </w:p>
        </w:tc>
        <w:tc>
          <w:tcPr>
            <w:tcW w:type="dxa" w:w="2340"/>
            <w:vAlign w:val="center"/>
            <w:tcMar>
              <w:top w:w="80" w:type="dxa"/>
              <w:start w:w="80" w:type="dxa"/>
              <w:bottom w:w="80" w:type="dxa"/>
              <w:end w:w="80" w:type="dxa"/>
            </w:tcMar>
          </w:tcPr>
          <w:p>
            <w:r>
              <w:rPr>
                <w:rFonts w:ascii="Arial" w:hAnsi="Arial"/>
                <w:b/>
                <w:sz w:val="16"/>
              </w:rPr>
              <w:t>Inclusion criteria</w:t>
            </w:r>
          </w:p>
        </w:tc>
        <w:tc>
          <w:tcPr>
            <w:tcW w:type="dxa" w:w="2340"/>
            <w:vAlign w:val="center"/>
            <w:tcMar>
              <w:top w:w="80" w:type="dxa"/>
              <w:start w:w="80" w:type="dxa"/>
              <w:bottom w:w="80" w:type="dxa"/>
              <w:end w:w="80" w:type="dxa"/>
            </w:tcMar>
          </w:tcPr>
          <w:p>
            <w:r>
              <w:rPr>
                <w:rFonts w:ascii="Arial" w:hAnsi="Arial"/>
                <w:b/>
                <w:sz w:val="16"/>
              </w:rPr>
              <w:t>Primary source</w:t>
            </w:r>
          </w:p>
        </w:tc>
      </w:tr>
      <w:tr>
        <w:tc>
          <w:tcPr>
            <w:tcW w:type="dxa" w:w="2340"/>
            <w:vAlign w:val="top"/>
            <w:tcMar>
              <w:top w:w="80" w:type="dxa"/>
              <w:start w:w="80" w:type="dxa"/>
              <w:bottom w:w="80" w:type="dxa"/>
              <w:end w:w="80" w:type="dxa"/>
            </w:tcMar>
          </w:tcPr>
          <w:p>
            <w:pPr>
              <w:spacing w:after="0"/>
            </w:pPr>
            <w:r>
              <w:rPr>
                <w:rFonts w:ascii="Arial" w:hAnsi="Arial"/>
                <w:sz w:val="16"/>
              </w:rPr>
              <w:t>Scoping review (WP1)</w:t>
            </w:r>
          </w:p>
        </w:tc>
        <w:tc>
          <w:tcPr>
            <w:tcW w:type="dxa" w:w="2340"/>
            <w:vAlign w:val="top"/>
            <w:tcMar>
              <w:top w:w="80" w:type="dxa"/>
              <w:start w:w="80" w:type="dxa"/>
              <w:bottom w:w="80" w:type="dxa"/>
              <w:end w:w="80" w:type="dxa"/>
            </w:tcMar>
          </w:tcPr>
          <w:p>
            <w:pPr>
              <w:spacing w:after="0"/>
            </w:pPr>
            <w:r>
              <w:rPr>
                <w:rFonts w:ascii="Arial" w:hAnsi="Arial"/>
                <w:sz w:val="16"/>
              </w:rPr>
              <w:t>Study</w:t>
            </w:r>
          </w:p>
        </w:tc>
        <w:tc>
          <w:tcPr>
            <w:tcW w:type="dxa" w:w="2340"/>
            <w:vAlign w:val="top"/>
            <w:tcMar>
              <w:top w:w="80" w:type="dxa"/>
              <w:start w:w="80" w:type="dxa"/>
              <w:bottom w:w="80" w:type="dxa"/>
              <w:end w:w="80" w:type="dxa"/>
            </w:tcMar>
          </w:tcPr>
          <w:p>
            <w:pPr>
              <w:spacing w:after="0"/>
            </w:pPr>
            <w:r>
              <w:rPr>
                <w:rFonts w:ascii="Arial" w:hAnsi="Arial"/>
                <w:sz w:val="16"/>
              </w:rPr>
              <w:t>Peer-reviewed or archival works reporting a data path in or transferable to shared micromobility</w:t>
            </w:r>
          </w:p>
        </w:tc>
        <w:tc>
          <w:tcPr>
            <w:tcW w:type="dxa" w:w="2340"/>
            <w:vAlign w:val="top"/>
            <w:tcMar>
              <w:top w:w="80" w:type="dxa"/>
              <w:start w:w="80" w:type="dxa"/>
              <w:bottom w:w="80" w:type="dxa"/>
              <w:end w:w="80" w:type="dxa"/>
            </w:tcMar>
          </w:tcPr>
          <w:p>
            <w:pPr>
              <w:spacing w:after="0"/>
            </w:pPr>
            <w:r>
              <w:rPr>
                <w:rFonts w:ascii="Arial" w:hAnsi="Arial"/>
                <w:sz w:val="16"/>
              </w:rPr>
              <w:t>Bibliographic search of 2,169 records [17,19]</w:t>
            </w:r>
          </w:p>
        </w:tc>
      </w:tr>
      <w:tr>
        <w:tc>
          <w:tcPr>
            <w:tcW w:type="dxa" w:w="2340"/>
            <w:vAlign w:val="top"/>
            <w:tcMar>
              <w:top w:w="80" w:type="dxa"/>
              <w:start w:w="80" w:type="dxa"/>
              <w:bottom w:w="80" w:type="dxa"/>
              <w:end w:w="80" w:type="dxa"/>
            </w:tcMar>
          </w:tcPr>
          <w:p>
            <w:pPr>
              <w:spacing w:after="0"/>
            </w:pPr>
            <w:r>
              <w:rPr>
                <w:rFonts w:ascii="Arial" w:hAnsi="Arial"/>
                <w:sz w:val="16"/>
              </w:rPr>
              <w:t>GBFS field audit (WP2)</w:t>
            </w:r>
          </w:p>
        </w:tc>
        <w:tc>
          <w:tcPr>
            <w:tcW w:type="dxa" w:w="2340"/>
            <w:vAlign w:val="top"/>
            <w:tcMar>
              <w:top w:w="80" w:type="dxa"/>
              <w:start w:w="80" w:type="dxa"/>
              <w:bottom w:w="80" w:type="dxa"/>
              <w:end w:w="80" w:type="dxa"/>
            </w:tcMar>
          </w:tcPr>
          <w:p>
            <w:pPr>
              <w:spacing w:after="0"/>
            </w:pPr>
            <w:r>
              <w:rPr>
                <w:rFonts w:ascii="Arial" w:hAnsi="Arial"/>
                <w:sz w:val="16"/>
              </w:rPr>
              <w:t>System/feed</w:t>
            </w:r>
          </w:p>
        </w:tc>
        <w:tc>
          <w:tcPr>
            <w:tcW w:type="dxa" w:w="2340"/>
            <w:vAlign w:val="top"/>
            <w:tcMar>
              <w:top w:w="80" w:type="dxa"/>
              <w:start w:w="80" w:type="dxa"/>
              <w:bottom w:w="80" w:type="dxa"/>
              <w:end w:w="80" w:type="dxa"/>
            </w:tcMar>
          </w:tcPr>
          <w:p>
            <w:pPr>
              <w:spacing w:after="0"/>
            </w:pPr>
            <w:r>
              <w:rPr>
                <w:rFonts w:ascii="Arial" w:hAnsi="Arial"/>
                <w:sz w:val="16"/>
              </w:rPr>
              <w:t>Public GBFS systems in the frozen registry with a reachable auto-discovery endpoint</w:t>
            </w:r>
          </w:p>
        </w:tc>
        <w:tc>
          <w:tcPr>
            <w:tcW w:type="dxa" w:w="2340"/>
            <w:vAlign w:val="top"/>
            <w:tcMar>
              <w:top w:w="80" w:type="dxa"/>
              <w:start w:w="80" w:type="dxa"/>
              <w:bottom w:w="80" w:type="dxa"/>
              <w:end w:w="80" w:type="dxa"/>
            </w:tcMar>
          </w:tcPr>
          <w:p>
            <w:pPr>
              <w:spacing w:after="0"/>
            </w:pPr>
            <w:r>
              <w:rPr>
                <w:rFonts w:ascii="Arial" w:hAnsi="Arial"/>
                <w:sz w:val="16"/>
              </w:rPr>
              <w:t>GBFS systems catalogue and live feeds [18,20]</w:t>
            </w:r>
          </w:p>
        </w:tc>
      </w:tr>
      <w:tr>
        <w:tc>
          <w:tcPr>
            <w:tcW w:type="dxa" w:w="2340"/>
            <w:vAlign w:val="top"/>
            <w:tcMar>
              <w:top w:w="80" w:type="dxa"/>
              <w:start w:w="80" w:type="dxa"/>
              <w:bottom w:w="80" w:type="dxa"/>
              <w:end w:w="80" w:type="dxa"/>
            </w:tcMar>
          </w:tcPr>
          <w:p>
            <w:pPr>
              <w:spacing w:after="0"/>
            </w:pPr>
            <w:r>
              <w:rPr>
                <w:rFonts w:ascii="Arial" w:hAnsi="Arial"/>
                <w:sz w:val="16"/>
              </w:rPr>
              <w:t>Disclosure audit (WP3)</w:t>
            </w:r>
          </w:p>
        </w:tc>
        <w:tc>
          <w:tcPr>
            <w:tcW w:type="dxa" w:w="2340"/>
            <w:vAlign w:val="top"/>
            <w:tcMar>
              <w:top w:w="80" w:type="dxa"/>
              <w:start w:w="80" w:type="dxa"/>
              <w:bottom w:w="80" w:type="dxa"/>
              <w:end w:w="80" w:type="dxa"/>
            </w:tcMar>
          </w:tcPr>
          <w:p>
            <w:pPr>
              <w:spacing w:after="0"/>
            </w:pPr>
            <w:r>
              <w:rPr>
                <w:rFonts w:ascii="Arial" w:hAnsi="Arial"/>
                <w:sz w:val="16"/>
              </w:rPr>
              <w:t>Operator document</w:t>
            </w:r>
          </w:p>
        </w:tc>
        <w:tc>
          <w:tcPr>
            <w:tcW w:type="dxa" w:w="2340"/>
            <w:vAlign w:val="top"/>
            <w:tcMar>
              <w:top w:w="80" w:type="dxa"/>
              <w:start w:w="80" w:type="dxa"/>
              <w:bottom w:w="80" w:type="dxa"/>
              <w:end w:w="80" w:type="dxa"/>
            </w:tcMar>
          </w:tcPr>
          <w:p>
            <w:pPr>
              <w:spacing w:after="0"/>
            </w:pPr>
            <w:r>
              <w:rPr>
                <w:rFonts w:ascii="Arial" w:hAnsi="Arial"/>
                <w:sz w:val="16"/>
              </w:rPr>
              <w:t>Publicly reachable operator privacy notice for an audited GBFS operator</w:t>
            </w:r>
          </w:p>
        </w:tc>
        <w:tc>
          <w:tcPr>
            <w:tcW w:type="dxa" w:w="2340"/>
            <w:vAlign w:val="top"/>
            <w:tcMar>
              <w:top w:w="80" w:type="dxa"/>
              <w:start w:w="80" w:type="dxa"/>
              <w:bottom w:w="80" w:type="dxa"/>
              <w:end w:w="80" w:type="dxa"/>
            </w:tcMar>
          </w:tcPr>
          <w:p>
            <w:pPr>
              <w:spacing w:after="0"/>
            </w:pPr>
            <w:r>
              <w:rPr>
                <w:rFonts w:ascii="Arial" w:hAnsi="Arial"/>
                <w:sz w:val="16"/>
              </w:rPr>
              <w:t>Operator privacy notices; governance guidance [21,22]</w:t>
            </w:r>
          </w:p>
        </w:tc>
      </w:tr>
    </w:tbl>
    <w:p/>
    <w:p>
      <w:pPr>
        <w:pStyle w:val="Heading2"/>
      </w:pPr>
      <w:r>
        <w:t>2.2. Scoping review (WP1)</w:t>
      </w:r>
    </w:p>
    <w:p>
      <w:pPr>
        <w:ind w:firstLine="432"/>
        <w:jc w:val="both"/>
      </w:pPr>
      <w:r>
        <w:rPr>
          <w:rFonts w:ascii="Times New Roman" w:hAnsi="Times New Roman"/>
          <w:sz w:val="24"/>
        </w:rPr>
        <w:t>We compiled 2,169 records from programmatic searches of open bibliographic metadata. A digital object identifier (DOI) was available for 2,116 of 2,169 records (97.6%), for which abstracts were retrieved automatically where possible; the remaining records were screened on title and available metadata only. Title/abstract screening applied a deterministic rule set that combined target-domain relevance with the presence of a described data path, and recorded a decision and reason for every record. Because the rules are deterministic, we re-applied them to a delayed 21% sample (n = 447) and reproduced every original decision (100% agreement); this demonstrates computational reproducibility rather than inter-rater reliability, as a single reviewer conducted the screening.</w:t>
      </w:r>
    </w:p>
    <w:p>
      <w:pPr>
        <w:ind w:firstLine="432"/>
        <w:jc w:val="both"/>
      </w:pPr>
      <w:r>
        <w:rPr>
          <w:rFonts w:ascii="Times New Roman" w:hAnsi="Times New Roman"/>
          <w:sz w:val="24"/>
        </w:rPr>
        <w:t>Records marked include or uncertain were sought for full-text assessment. Each retrieved study was classified by evidence distance: D4, direct target-domain empirical evidence; D3, direct target-domain documentary evidence; D2, near-domain empirical evidence; D1, mechanism analogy; and N, normative evidence. This ordering is an operational classification defined for the present study; it is conceptually related to the GRADE notion of indirectness [23] but is not a GRADE certainty rating. We did not treat a title/abstract decision as equivalent to a confirmed full-text finding, and we did not claim to have read full text that could not be retrieved. From the included studies we built a study-level extraction table capturing device or service, design, data fields, access path, reported outcome, and limitations.</w:t>
      </w:r>
    </w:p>
    <w:p>
      <w:pPr>
        <w:pStyle w:val="Heading2"/>
      </w:pPr>
      <w:r>
        <w:t>2.3. Public GBFS field audit (WP2)</w:t>
      </w:r>
    </w:p>
    <w:p>
      <w:pPr>
        <w:ind w:firstLine="432"/>
        <w:jc w:val="both"/>
      </w:pPr>
      <w:r>
        <w:rPr>
          <w:rFonts w:ascii="Times New Roman" w:hAnsi="Times New Roman"/>
          <w:sz w:val="24"/>
        </w:rPr>
        <w:t>We froze a snapshot of the public GBFS systems catalogue [20] and recorded its checksum. For each system we attempted to reach the auto-discovery endpoint, to locate a declared vehicle-status feed, to retrieve that feed, and to record which specification fields it contained. The unit of analysis is the system/feed. To respect the study's safety constraints, we recorded only the presence or absence of each field; raw vehicle identifiers, exact coordinates, and vehicle-specific deep links were not retained. Unavailable or empty feeds were separated from feeds that were retrieved but omitted a field, and all proportions are reported against explicit denominators with 95% Wilson confidence intervals (CIs). For k feeds with a field out of n retrieved, the interval is</w:t>
      </w:r>
    </w:p>
    <w:p>
      <w:pPr>
        <w:jc w:val="center"/>
      </w:pPr>
      <m:oMathPara>
        <m:oMath>
          <m:acc>
            <m:accPr>
              <m:chr m:val="̂"/>
            </m:accPr>
            <m:e>
              <m:r>
                <m:t>p</m:t>
              </m:r>
            </m:e>
          </m:acc>
          <m:r>
            <m:rPr>
              <m:sty m:val="p"/>
            </m:rPr>
            <m:t> = </m:t>
          </m:r>
          <m:r>
            <m:t>k</m:t>
          </m:r>
          <m:r>
            <m:rPr>
              <m:sty m:val="p"/>
            </m:rPr>
            <m:t>/</m:t>
          </m:r>
          <m:r>
            <m:t>n</m:t>
          </m:r>
          <m:r>
            <m:rPr>
              <m:sty m:val="p"/>
            </m:rPr>
            <m:t>,  CI = </m:t>
          </m:r>
          <m:f>
            <m:num>
              <m:acc>
                <m:accPr>
                  <m:chr m:val="̂"/>
                </m:accPr>
                <m:e>
                  <m:r>
                    <m:t>p</m:t>
                  </m:r>
                </m:e>
              </m:acc>
              <m:r>
                <m:rPr>
                  <m:sty m:val="p"/>
                </m:rPr>
                <m:t> + </m:t>
              </m:r>
              <m:f>
                <m:num>
                  <m:sSup>
                    <m:e>
                      <m:r>
                        <m:t>z</m:t>
                      </m:r>
                    </m:e>
                    <m:sup>
                      <m:r>
                        <m:rPr>
                          <m:sty m:val="p"/>
                        </m:rPr>
                        <m:t>2</m:t>
                      </m:r>
                    </m:sup>
                  </m:sSup>
                </m:num>
                <m:den>
                  <m:r>
                    <m:rPr>
                      <m:sty m:val="p"/>
                    </m:rPr>
                    <m:t>2</m:t>
                  </m:r>
                  <m:r>
                    <m:t>n</m:t>
                  </m:r>
                </m:den>
              </m:f>
              <m:r>
                <m:rPr>
                  <m:sty m:val="p"/>
                </m:rPr>
                <m:t> ± </m:t>
              </m:r>
              <m:r>
                <m:t>z</m:t>
              </m:r>
              <m:rad>
                <m:radPr>
                  <m:degHide m:val="1"/>
                </m:radPr>
                <m:deg/>
                <m:e>
                  <m:f>
                    <m:num>
                      <m:acc>
                        <m:accPr>
                          <m:chr m:val="̂"/>
                        </m:accPr>
                        <m:e>
                          <m:r>
                            <m:t>p</m:t>
                          </m:r>
                        </m:e>
                      </m:acc>
                      <m:r>
                        <m:rPr>
                          <m:sty m:val="p"/>
                        </m:rPr>
                        <m:t>(1 - </m:t>
                      </m:r>
                      <m:acc>
                        <m:accPr>
                          <m:chr m:val="̂"/>
                        </m:accPr>
                        <m:e>
                          <m:r>
                            <m:t>p</m:t>
                          </m:r>
                        </m:e>
                      </m:acc>
                      <m:r>
                        <m:rPr>
                          <m:sty m:val="p"/>
                        </m:rPr>
                        <m:t>)</m:t>
                      </m:r>
                    </m:num>
                    <m:den>
                      <m:r>
                        <m:t>n</m:t>
                      </m:r>
                    </m:den>
                  </m:f>
                  <m:r>
                    <m:rPr>
                      <m:sty m:val="p"/>
                    </m:rPr>
                    <m:t> + </m:t>
                  </m:r>
                  <m:f>
                    <m:num>
                      <m:sSup>
                        <m:e>
                          <m:r>
                            <m:t>z</m:t>
                          </m:r>
                        </m:e>
                        <m:sup>
                          <m:r>
                            <m:rPr>
                              <m:sty m:val="p"/>
                            </m:rPr>
                            <m:t>2</m:t>
                          </m:r>
                        </m:sup>
                      </m:sSup>
                    </m:num>
                    <m:den>
                      <m:r>
                        <m:rPr>
                          <m:sty m:val="p"/>
                        </m:rPr>
                        <m:t>4</m:t>
                      </m:r>
                      <m:sSup>
                        <m:e>
                          <m:r>
                            <m:t>n</m:t>
                          </m:r>
                        </m:e>
                        <m:sup>
                          <m:r>
                            <m:rPr>
                              <m:sty m:val="p"/>
                            </m:rPr>
                            <m:t>2</m:t>
                          </m:r>
                        </m:sup>
                      </m:sSup>
                    </m:den>
                  </m:f>
                </m:e>
              </m:rad>
            </m:num>
            <m:den>
              <m:r>
                <m:rPr>
                  <m:sty m:val="p"/>
                </m:rPr>
                <m:t>1 + </m:t>
              </m:r>
              <m:f>
                <m:num>
                  <m:sSup>
                    <m:e>
                      <m:r>
                        <m:t>z</m:t>
                      </m:r>
                    </m:e>
                    <m:sup>
                      <m:r>
                        <m:rPr>
                          <m:sty m:val="p"/>
                        </m:rPr>
                        <m:t>2</m:t>
                      </m:r>
                    </m:sup>
                  </m:sSup>
                </m:num>
                <m:den>
                  <m:r>
                    <m:t>n</m:t>
                  </m:r>
                </m:den>
              </m:f>
            </m:den>
          </m:f>
        </m:oMath>
      </m:oMathPara>
    </w:p>
    <w:p>
      <w:pPr>
        <w:ind w:firstLine="432"/>
        <w:jc w:val="both"/>
      </w:pPr>
      <w:r>
        <w:rPr>
          <w:rFonts w:ascii="Times New Roman" w:hAnsi="Times New Roman"/>
          <w:sz w:val="24"/>
        </w:rPr>
        <w:t>where z is the 97.5th percentile of the standard normal distribution. Because several large operators run many city systems, we also computed an operator-domain sensitivity analysis to check whether prevalence was driven by a few operators.</w:t>
      </w:r>
    </w:p>
    <w:p>
      <w:pPr>
        <w:pStyle w:val="Heading2"/>
      </w:pPr>
      <w:r>
        <w:t>2.4. Public-document disclosure audit (WP3)</w:t>
      </w:r>
    </w:p>
    <w:p>
      <w:pPr>
        <w:ind w:firstLine="432"/>
        <w:jc w:val="both"/>
      </w:pPr>
      <w:r>
        <w:rPr>
          <w:rFonts w:ascii="Times New Roman" w:hAnsi="Times New Roman"/>
          <w:sz w:val="24"/>
        </w:rPr>
        <w:t>Operators were selected from the audited GBFS population by a prespecified rule: eligible motorized systems were grouped by normalized operator website domain, and the 15 domains with the largest number of eligible systems formed the document sample (ties resolved alphabetically). The selection table is published with the code. We then retrieved each operator's public privacy notice. For each operator document we coded 14 disclosure domains - location; trip and time data; vehicle identifiers; battery or diagnostic data; maintenance or repair records; account, payment, and device data; analytics or profiling; retention; processors or contractors; international transfers; data-subject rights; incident contact; vulnerability disclosure; and device return, recycling, or disposal - using the values explicit, partial, not found, not applicable, and unavailable. A not-found coding means the document did not address the domain; it is not evidence that the practice does not occur. Each coding is accompanied by a short verbatim locator quotation in the coding sheet so that a third party can check it. Coding was computer-assisted and reviewed by a single reviewer; governance and standards documents [21,22,24-26] were used as reference points and were not coded as operator practices.</w:t>
      </w:r>
    </w:p>
    <w:p>
      <w:pPr>
        <w:pStyle w:val="Heading1"/>
      </w:pPr>
      <w:r>
        <w:t>3. Results</w:t>
      </w:r>
    </w:p>
    <w:p>
      <w:pPr>
        <w:pStyle w:val="Heading2"/>
      </w:pPr>
      <w:r>
        <w:t>3.1. Scoping review (RQ1)</w:t>
      </w:r>
    </w:p>
    <w:p>
      <w:pPr>
        <w:ind w:firstLine="432"/>
        <w:jc w:val="both"/>
      </w:pPr>
      <w:r>
        <w:rPr>
          <w:rFonts w:ascii="Times New Roman" w:hAnsi="Times New Roman"/>
          <w:sz w:val="24"/>
        </w:rPr>
        <w:t>Of 2,169 records screened, 1,945 were excluded at title/abstract and 224 were sought for full text (Fig. 1). Of these, 79 could not be retrieved and were recorded as such rather than assessed; 127 retrieved records were excluded because they contained no relevant data path (90) or described a mechanism that did not transfer to the target domain (37). In total, 18 direct studies were included: 5 at evidence distance D4, 9 at D3, and 4 at D2 (Fig. 2; Table 2).</w:t>
      </w:r>
    </w:p>
    <w:p>
      <w:pPr>
        <w:ind w:firstLine="432"/>
        <w:jc w:val="both"/>
      </w:pPr>
      <w:r>
        <w:rPr>
          <w:rFonts w:ascii="Times New Roman" w:hAnsi="Times New Roman"/>
          <w:sz w:val="24"/>
        </w:rPr>
        <w:t>The included D4 studies provide the strongest evidence. A long-term real-world analysis reconstructed rider-relevant patterns from operator data [2]; investigative studies of rental applications and scooter ecosystems demonstrated collection and protocol weaknesses [9,10,27]; and a forensic analysis recovered data from micromobility devices [12]. D3 studies document platform architectures, location-spoofing threats, data-acquisition frameworks, and user-facing traceability concerns [11,28-35]. D2 studies transfer from adjacent domains: battery side channels and battery-management data [15,16], residual data in reused IoT devices [13], and cloud data remanence [14]. No included study, on its own, demonstrated an end-to-end lifecycle compromise; the evidence is strongest for operation and weakest for recall and disposal.</w:t>
      </w:r>
    </w:p>
    <w:p>
      <w:pPr>
        <w:spacing w:before="120" w:after="280"/>
        <w:jc w:val="center"/>
      </w:pPr>
      <w:r>
        <w:rPr>
          <w:i/>
          <w:sz w:val="20"/>
        </w:rPr>
        <w:t>Figure 1. PRISMA-ScR flow of record identification, title/abstract screening, full-text eligibility assessment, and inclusion. Counts are reproduced from the committed screening sheet.</w:t>
      </w:r>
    </w:p>
    <w:p>
      <w:pPr>
        <w:spacing w:before="120" w:after="280"/>
        <w:jc w:val="center"/>
      </w:pPr>
      <w:r>
        <w:rPr>
          <w:i/>
          <w:sz w:val="20"/>
        </w:rPr>
        <w:t>Figure 2. Evidence map of the 18 included direct studies by evidence distance (D4 direct empirical, D3 direct documentary, D2 near-domain empirical) and lifecycle stage addressed. A study that addresses more than one stage is counted in each relevant stage, so row totals may exceed the number of studies at that distance.</w:t>
      </w:r>
    </w:p>
    <w:p>
      <w:pPr>
        <w:spacing w:before="280" w:after="120"/>
      </w:pPr>
      <w:r>
        <w:rPr>
          <w:b/>
        </w:rPr>
        <w:t>Table 2. Included direct studies (n = 18), ordered by evidence distance. Key results are as reported by the source; this review did not reproduce the underlying experiments.</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2340"/>
        <w:gridCol w:w="2340"/>
        <w:gridCol w:w="2340"/>
        <w:gridCol w:w="2340"/>
      </w:tblGrid>
      <w:tr>
        <w:tc>
          <w:tcPr>
            <w:tcW w:type="dxa" w:w="2340"/>
            <w:vAlign w:val="center"/>
            <w:tcMar>
              <w:top w:w="80" w:type="dxa"/>
              <w:start w:w="80" w:type="dxa"/>
              <w:bottom w:w="80" w:type="dxa"/>
              <w:end w:w="80" w:type="dxa"/>
            </w:tcMar>
          </w:tcPr>
          <w:p>
            <w:r>
              <w:rPr>
                <w:rFonts w:ascii="Arial" w:hAnsi="Arial"/>
                <w:b/>
                <w:sz w:val="16"/>
              </w:rPr>
              <w:t>Study</w:t>
            </w:r>
          </w:p>
        </w:tc>
        <w:tc>
          <w:tcPr>
            <w:tcW w:type="dxa" w:w="2340"/>
            <w:vAlign w:val="center"/>
            <w:tcMar>
              <w:top w:w="80" w:type="dxa"/>
              <w:start w:w="80" w:type="dxa"/>
              <w:bottom w:w="80" w:type="dxa"/>
              <w:end w:w="80" w:type="dxa"/>
            </w:tcMar>
          </w:tcPr>
          <w:p>
            <w:r>
              <w:rPr>
                <w:rFonts w:ascii="Arial" w:hAnsi="Arial"/>
                <w:b/>
                <w:sz w:val="16"/>
              </w:rPr>
              <w:t>Evidence distance</w:t>
            </w:r>
          </w:p>
        </w:tc>
        <w:tc>
          <w:tcPr>
            <w:tcW w:type="dxa" w:w="2340"/>
            <w:vAlign w:val="center"/>
            <w:tcMar>
              <w:top w:w="80" w:type="dxa"/>
              <w:start w:w="80" w:type="dxa"/>
              <w:bottom w:w="80" w:type="dxa"/>
              <w:end w:w="80" w:type="dxa"/>
            </w:tcMar>
          </w:tcPr>
          <w:p>
            <w:r>
              <w:rPr>
                <w:rFonts w:ascii="Arial" w:hAnsi="Arial"/>
                <w:b/>
                <w:sz w:val="16"/>
              </w:rPr>
              <w:t>Device or service</w:t>
            </w:r>
          </w:p>
        </w:tc>
        <w:tc>
          <w:tcPr>
            <w:tcW w:type="dxa" w:w="2340"/>
            <w:vAlign w:val="center"/>
            <w:tcMar>
              <w:top w:w="80" w:type="dxa"/>
              <w:start w:w="80" w:type="dxa"/>
              <w:bottom w:w="80" w:type="dxa"/>
              <w:end w:w="80" w:type="dxa"/>
            </w:tcMar>
          </w:tcPr>
          <w:p>
            <w:r>
              <w:rPr>
                <w:rFonts w:ascii="Arial" w:hAnsi="Arial"/>
                <w:b/>
                <w:sz w:val="16"/>
              </w:rPr>
              <w:t>Reported key result</w:t>
            </w:r>
          </w:p>
        </w:tc>
      </w:tr>
      <w:tr>
        <w:tc>
          <w:tcPr>
            <w:tcW w:type="dxa" w:w="2340"/>
            <w:vAlign w:val="top"/>
            <w:tcMar>
              <w:top w:w="80" w:type="dxa"/>
              <w:start w:w="80" w:type="dxa"/>
              <w:bottom w:w="80" w:type="dxa"/>
              <w:end w:w="80" w:type="dxa"/>
            </w:tcMar>
          </w:tcPr>
          <w:p>
            <w:pPr>
              <w:spacing w:after="0"/>
            </w:pPr>
            <w:r>
              <w:rPr>
                <w:rFonts w:ascii="Arial" w:hAnsi="Arial"/>
                <w:sz w:val="16"/>
              </w:rPr>
              <w:t>Casagrande et al. [10]</w:t>
            </w:r>
          </w:p>
        </w:tc>
        <w:tc>
          <w:tcPr>
            <w:tcW w:type="dxa" w:w="2340"/>
            <w:vAlign w:val="top"/>
            <w:tcMar>
              <w:top w:w="80" w:type="dxa"/>
              <w:start w:w="80" w:type="dxa"/>
              <w:bottom w:w="80" w:type="dxa"/>
              <w:end w:w="80" w:type="dxa"/>
            </w:tcMar>
          </w:tcPr>
          <w:p>
            <w:pPr>
              <w:spacing w:after="0"/>
            </w:pPr>
            <w:r>
              <w:rPr>
                <w:rFonts w:ascii="Arial" w:hAnsi="Arial"/>
                <w:sz w:val="16"/>
              </w:rPr>
              <w:t>D4 empirical</w:t>
            </w:r>
          </w:p>
        </w:tc>
        <w:tc>
          <w:tcPr>
            <w:tcW w:type="dxa" w:w="2340"/>
            <w:vAlign w:val="top"/>
            <w:tcMar>
              <w:top w:w="80" w:type="dxa"/>
              <w:start w:w="80" w:type="dxa"/>
              <w:bottom w:w="80" w:type="dxa"/>
              <w:end w:w="80" w:type="dxa"/>
            </w:tcMar>
          </w:tcPr>
          <w:p>
            <w:pPr>
              <w:spacing w:after="0"/>
            </w:pPr>
            <w:r>
              <w:rPr>
                <w:rFonts w:ascii="Arial" w:hAnsi="Arial"/>
                <w:sz w:val="16"/>
              </w:rPr>
              <w:t>Xiaomi e-scooter ecosystem and Mi Home app</w:t>
            </w:r>
          </w:p>
        </w:tc>
        <w:tc>
          <w:tcPr>
            <w:tcW w:type="dxa" w:w="2340"/>
            <w:vAlign w:val="top"/>
            <w:tcMar>
              <w:top w:w="80" w:type="dxa"/>
              <w:start w:w="80" w:type="dxa"/>
              <w:bottom w:w="80" w:type="dxa"/>
              <w:end w:w="80" w:type="dxa"/>
            </w:tcMar>
          </w:tcPr>
          <w:p>
            <w:pPr>
              <w:spacing w:after="0"/>
            </w:pPr>
            <w:r>
              <w:rPr>
                <w:rFonts w:ascii="Arial" w:hAnsi="Arial"/>
                <w:sz w:val="16"/>
              </w:rPr>
              <w:t>Proprietary BLE protocol exploitable to steal or disable scooters and expose data</w:t>
            </w:r>
          </w:p>
        </w:tc>
      </w:tr>
      <w:tr>
        <w:tc>
          <w:tcPr>
            <w:tcW w:type="dxa" w:w="2340"/>
            <w:vAlign w:val="top"/>
            <w:tcMar>
              <w:top w:w="80" w:type="dxa"/>
              <w:start w:w="80" w:type="dxa"/>
              <w:bottom w:w="80" w:type="dxa"/>
              <w:end w:w="80" w:type="dxa"/>
            </w:tcMar>
          </w:tcPr>
          <w:p>
            <w:pPr>
              <w:spacing w:after="0"/>
            </w:pPr>
            <w:r>
              <w:rPr>
                <w:rFonts w:ascii="Arial" w:hAnsi="Arial"/>
                <w:sz w:val="16"/>
              </w:rPr>
              <w:t>Casagrande et al. [27]</w:t>
            </w:r>
          </w:p>
        </w:tc>
        <w:tc>
          <w:tcPr>
            <w:tcW w:type="dxa" w:w="2340"/>
            <w:vAlign w:val="top"/>
            <w:tcMar>
              <w:top w:w="80" w:type="dxa"/>
              <w:start w:w="80" w:type="dxa"/>
              <w:bottom w:w="80" w:type="dxa"/>
              <w:end w:w="80" w:type="dxa"/>
            </w:tcMar>
          </w:tcPr>
          <w:p>
            <w:pPr>
              <w:spacing w:after="0"/>
            </w:pPr>
            <w:r>
              <w:rPr>
                <w:rFonts w:ascii="Arial" w:hAnsi="Arial"/>
                <w:sz w:val="16"/>
              </w:rPr>
              <w:t>D4 empirical</w:t>
            </w:r>
          </w:p>
        </w:tc>
        <w:tc>
          <w:tcPr>
            <w:tcW w:type="dxa" w:w="2340"/>
            <w:vAlign w:val="top"/>
            <w:tcMar>
              <w:top w:w="80" w:type="dxa"/>
              <w:start w:w="80" w:type="dxa"/>
              <w:bottom w:w="80" w:type="dxa"/>
              <w:end w:w="80" w:type="dxa"/>
            </w:tcMar>
          </w:tcPr>
          <w:p>
            <w:pPr>
              <w:spacing w:after="0"/>
            </w:pPr>
            <w:r>
              <w:rPr>
                <w:rFonts w:ascii="Arial" w:hAnsi="Arial"/>
                <w:sz w:val="16"/>
              </w:rPr>
              <w:t>Xiaomi M365 and ES3 e-scooters with companion app</w:t>
            </w:r>
          </w:p>
        </w:tc>
        <w:tc>
          <w:tcPr>
            <w:tcW w:type="dxa" w:w="2340"/>
            <w:vAlign w:val="top"/>
            <w:tcMar>
              <w:top w:w="80" w:type="dxa"/>
              <w:start w:w="80" w:type="dxa"/>
              <w:bottom w:w="80" w:type="dxa"/>
              <w:end w:w="80" w:type="dxa"/>
            </w:tcMar>
          </w:tcPr>
          <w:p>
            <w:pPr>
              <w:spacing w:after="0"/>
            </w:pPr>
            <w:r>
              <w:rPr>
                <w:rFonts w:ascii="Arial" w:hAnsi="Arial"/>
                <w:sz w:val="16"/>
              </w:rPr>
              <w:t>Battery-powered embedded internals expose tracking, DoS, ransomware, and data-leak surfaces</w:t>
            </w:r>
          </w:p>
        </w:tc>
      </w:tr>
      <w:tr>
        <w:tc>
          <w:tcPr>
            <w:tcW w:type="dxa" w:w="2340"/>
            <w:vAlign w:val="top"/>
            <w:tcMar>
              <w:top w:w="80" w:type="dxa"/>
              <w:start w:w="80" w:type="dxa"/>
              <w:bottom w:w="80" w:type="dxa"/>
              <w:end w:w="80" w:type="dxa"/>
            </w:tcMar>
          </w:tcPr>
          <w:p>
            <w:pPr>
              <w:spacing w:after="0"/>
            </w:pPr>
            <w:r>
              <w:rPr>
                <w:rFonts w:ascii="Arial" w:hAnsi="Arial"/>
                <w:sz w:val="16"/>
              </w:rPr>
              <w:t>Elzer et al. [2]</w:t>
            </w:r>
          </w:p>
        </w:tc>
        <w:tc>
          <w:tcPr>
            <w:tcW w:type="dxa" w:w="2340"/>
            <w:vAlign w:val="top"/>
            <w:tcMar>
              <w:top w:w="80" w:type="dxa"/>
              <w:start w:w="80" w:type="dxa"/>
              <w:bottom w:w="80" w:type="dxa"/>
              <w:end w:w="80" w:type="dxa"/>
            </w:tcMar>
          </w:tcPr>
          <w:p>
            <w:pPr>
              <w:spacing w:after="0"/>
            </w:pPr>
            <w:r>
              <w:rPr>
                <w:rFonts w:ascii="Arial" w:hAnsi="Arial"/>
                <w:sz w:val="16"/>
              </w:rPr>
              <w:t>D4 empirical</w:t>
            </w:r>
          </w:p>
        </w:tc>
        <w:tc>
          <w:tcPr>
            <w:tcW w:type="dxa" w:w="2340"/>
            <w:vAlign w:val="top"/>
            <w:tcMar>
              <w:top w:w="80" w:type="dxa"/>
              <w:start w:w="80" w:type="dxa"/>
              <w:bottom w:w="80" w:type="dxa"/>
              <w:end w:w="80" w:type="dxa"/>
            </w:tcMar>
          </w:tcPr>
          <w:p>
            <w:pPr>
              <w:spacing w:after="0"/>
            </w:pPr>
            <w:r>
              <w:rPr>
                <w:rFonts w:ascii="Arial" w:hAnsi="Arial"/>
                <w:sz w:val="16"/>
              </w:rPr>
              <w:t>Shared e-scooter and e-bike systems (public provider feeds)</w:t>
            </w:r>
          </w:p>
        </w:tc>
        <w:tc>
          <w:tcPr>
            <w:tcW w:type="dxa" w:w="2340"/>
            <w:vAlign w:val="top"/>
            <w:tcMar>
              <w:top w:w="80" w:type="dxa"/>
              <w:start w:w="80" w:type="dxa"/>
              <w:bottom w:w="80" w:type="dxa"/>
              <w:end w:w="80" w:type="dxa"/>
            </w:tcMar>
          </w:tcPr>
          <w:p>
            <w:pPr>
              <w:spacing w:after="0"/>
            </w:pPr>
            <w:r>
              <w:rPr>
                <w:rFonts w:ascii="Arial" w:hAnsi="Arial"/>
                <w:sz w:val="16"/>
              </w:rPr>
              <w:t>Public feed state changes reconstruct individual mobility patterns exploitable for stalking or burglary</w:t>
            </w:r>
          </w:p>
        </w:tc>
      </w:tr>
      <w:tr>
        <w:tc>
          <w:tcPr>
            <w:tcW w:type="dxa" w:w="2340"/>
            <w:vAlign w:val="top"/>
            <w:tcMar>
              <w:top w:w="80" w:type="dxa"/>
              <w:start w:w="80" w:type="dxa"/>
              <w:bottom w:w="80" w:type="dxa"/>
              <w:end w:w="80" w:type="dxa"/>
            </w:tcMar>
          </w:tcPr>
          <w:p>
            <w:pPr>
              <w:spacing w:after="0"/>
            </w:pPr>
            <w:r>
              <w:rPr>
                <w:rFonts w:ascii="Arial" w:hAnsi="Arial"/>
                <w:sz w:val="16"/>
              </w:rPr>
              <w:t>Hilgert et al. [12]</w:t>
            </w:r>
          </w:p>
        </w:tc>
        <w:tc>
          <w:tcPr>
            <w:tcW w:type="dxa" w:w="2340"/>
            <w:vAlign w:val="top"/>
            <w:tcMar>
              <w:top w:w="80" w:type="dxa"/>
              <w:start w:w="80" w:type="dxa"/>
              <w:bottom w:w="80" w:type="dxa"/>
              <w:end w:w="80" w:type="dxa"/>
            </w:tcMar>
          </w:tcPr>
          <w:p>
            <w:pPr>
              <w:spacing w:after="0"/>
            </w:pPr>
            <w:r>
              <w:rPr>
                <w:rFonts w:ascii="Arial" w:hAnsi="Arial"/>
                <w:sz w:val="16"/>
              </w:rPr>
              <w:t>D4 empirical</w:t>
            </w:r>
          </w:p>
        </w:tc>
        <w:tc>
          <w:tcPr>
            <w:tcW w:type="dxa" w:w="2340"/>
            <w:vAlign w:val="top"/>
            <w:tcMar>
              <w:top w:w="80" w:type="dxa"/>
              <w:start w:w="80" w:type="dxa"/>
              <w:bottom w:w="80" w:type="dxa"/>
              <w:end w:w="80" w:type="dxa"/>
            </w:tcMar>
          </w:tcPr>
          <w:p>
            <w:pPr>
              <w:spacing w:after="0"/>
            </w:pPr>
            <w:r>
              <w:rPr>
                <w:rFonts w:ascii="Arial" w:hAnsi="Arial"/>
                <w:sz w:val="16"/>
              </w:rPr>
              <w:t>Micromobility rental apps (bikes and e-scooters)</w:t>
            </w:r>
          </w:p>
        </w:tc>
        <w:tc>
          <w:tcPr>
            <w:tcW w:type="dxa" w:w="2340"/>
            <w:vAlign w:val="top"/>
            <w:tcMar>
              <w:top w:w="80" w:type="dxa"/>
              <w:start w:w="80" w:type="dxa"/>
              <w:bottom w:w="80" w:type="dxa"/>
              <w:end w:w="80" w:type="dxa"/>
            </w:tcMar>
          </w:tcPr>
          <w:p>
            <w:pPr>
              <w:spacing w:after="0"/>
            </w:pPr>
            <w:r>
              <w:rPr>
                <w:rFonts w:ascii="Arial" w:hAnsi="Arial"/>
                <w:sz w:val="16"/>
              </w:rPr>
              <w:t>Micromobility apps retain recoverable movement and account artifacts of investigative value</w:t>
            </w:r>
          </w:p>
        </w:tc>
      </w:tr>
      <w:tr>
        <w:tc>
          <w:tcPr>
            <w:tcW w:type="dxa" w:w="2340"/>
            <w:vAlign w:val="top"/>
            <w:tcMar>
              <w:top w:w="80" w:type="dxa"/>
              <w:start w:w="80" w:type="dxa"/>
              <w:bottom w:w="80" w:type="dxa"/>
              <w:end w:w="80" w:type="dxa"/>
            </w:tcMar>
          </w:tcPr>
          <w:p>
            <w:pPr>
              <w:spacing w:after="0"/>
            </w:pPr>
            <w:r>
              <w:rPr>
                <w:rFonts w:ascii="Arial" w:hAnsi="Arial"/>
                <w:sz w:val="16"/>
              </w:rPr>
              <w:t>Vinayaga-Sureshkanth et al. [9]</w:t>
            </w:r>
          </w:p>
        </w:tc>
        <w:tc>
          <w:tcPr>
            <w:tcW w:type="dxa" w:w="2340"/>
            <w:vAlign w:val="top"/>
            <w:tcMar>
              <w:top w:w="80" w:type="dxa"/>
              <w:start w:w="80" w:type="dxa"/>
              <w:bottom w:w="80" w:type="dxa"/>
              <w:end w:w="80" w:type="dxa"/>
            </w:tcMar>
          </w:tcPr>
          <w:p>
            <w:pPr>
              <w:spacing w:after="0"/>
            </w:pPr>
            <w:r>
              <w:rPr>
                <w:rFonts w:ascii="Arial" w:hAnsi="Arial"/>
                <w:sz w:val="16"/>
              </w:rPr>
              <w:t>D4 empirical</w:t>
            </w:r>
          </w:p>
        </w:tc>
        <w:tc>
          <w:tcPr>
            <w:tcW w:type="dxa" w:w="2340"/>
            <w:vAlign w:val="top"/>
            <w:tcMar>
              <w:top w:w="80" w:type="dxa"/>
              <w:start w:w="80" w:type="dxa"/>
              <w:bottom w:w="80" w:type="dxa"/>
              <w:end w:w="80" w:type="dxa"/>
            </w:tcMar>
          </w:tcPr>
          <w:p>
            <w:pPr>
              <w:spacing w:after="0"/>
            </w:pPr>
            <w:r>
              <w:rPr>
                <w:rFonts w:ascii="Arial" w:hAnsi="Arial"/>
                <w:sz w:val="16"/>
              </w:rPr>
              <w:t>Mobile e-scooter rental applications</w:t>
            </w:r>
          </w:p>
        </w:tc>
        <w:tc>
          <w:tcPr>
            <w:tcW w:type="dxa" w:w="2340"/>
            <w:vAlign w:val="top"/>
            <w:tcMar>
              <w:top w:w="80" w:type="dxa"/>
              <w:start w:w="80" w:type="dxa"/>
              <w:bottom w:w="80" w:type="dxa"/>
              <w:end w:w="80" w:type="dxa"/>
            </w:tcMar>
          </w:tcPr>
          <w:p>
            <w:pPr>
              <w:spacing w:after="0"/>
            </w:pPr>
            <w:r>
              <w:rPr>
                <w:rFonts w:ascii="Arial" w:hAnsi="Arial"/>
                <w:sz w:val="16"/>
              </w:rPr>
              <w:t>Rental apps collect privacy-sensitive data as a functional requirement and embed third-party trackers</w:t>
            </w:r>
          </w:p>
        </w:tc>
      </w:tr>
      <w:tr>
        <w:tc>
          <w:tcPr>
            <w:tcW w:type="dxa" w:w="2340"/>
            <w:vAlign w:val="top"/>
            <w:tcMar>
              <w:top w:w="80" w:type="dxa"/>
              <w:start w:w="80" w:type="dxa"/>
              <w:bottom w:w="80" w:type="dxa"/>
              <w:end w:w="80" w:type="dxa"/>
            </w:tcMar>
          </w:tcPr>
          <w:p>
            <w:pPr>
              <w:spacing w:after="0"/>
            </w:pPr>
            <w:r>
              <w:rPr>
                <w:rFonts w:ascii="Arial" w:hAnsi="Arial"/>
                <w:sz w:val="16"/>
              </w:rPr>
              <w:t>Hannemann et al. [35]</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Smart-mobility platforms (incl. rental bikes, e-scooters)</w:t>
            </w:r>
          </w:p>
        </w:tc>
        <w:tc>
          <w:tcPr>
            <w:tcW w:type="dxa" w:w="2340"/>
            <w:vAlign w:val="top"/>
            <w:tcMar>
              <w:top w:w="80" w:type="dxa"/>
              <w:start w:w="80" w:type="dxa"/>
              <w:bottom w:w="80" w:type="dxa"/>
              <w:end w:w="80" w:type="dxa"/>
            </w:tcMar>
          </w:tcPr>
          <w:p>
            <w:pPr>
              <w:spacing w:after="0"/>
            </w:pPr>
            <w:r>
              <w:rPr>
                <w:rFonts w:ascii="Arial" w:hAnsi="Arial"/>
                <w:sz w:val="16"/>
              </w:rPr>
              <w:t>Smart mobility shares sensitive personal data across parties; FHE mitigations remain costly</w:t>
            </w:r>
          </w:p>
        </w:tc>
      </w:tr>
      <w:tr>
        <w:tc>
          <w:tcPr>
            <w:tcW w:type="dxa" w:w="2340"/>
            <w:vAlign w:val="top"/>
            <w:tcMar>
              <w:top w:w="80" w:type="dxa"/>
              <w:start w:w="80" w:type="dxa"/>
              <w:bottom w:w="80" w:type="dxa"/>
              <w:end w:w="80" w:type="dxa"/>
            </w:tcMar>
          </w:tcPr>
          <w:p>
            <w:pPr>
              <w:spacing w:after="0"/>
            </w:pPr>
            <w:r>
              <w:rPr>
                <w:rFonts w:ascii="Arial" w:hAnsi="Arial"/>
                <w:sz w:val="16"/>
              </w:rPr>
              <w:t>Isik et al. [28]</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E-scooter sharing platforms (ESPs)</w:t>
            </w:r>
          </w:p>
        </w:tc>
        <w:tc>
          <w:tcPr>
            <w:tcW w:type="dxa" w:w="2340"/>
            <w:vAlign w:val="top"/>
            <w:tcMar>
              <w:top w:w="80" w:type="dxa"/>
              <w:start w:w="80" w:type="dxa"/>
              <w:bottom w:w="80" w:type="dxa"/>
              <w:end w:w="80" w:type="dxa"/>
            </w:tcMar>
          </w:tcPr>
          <w:p>
            <w:pPr>
              <w:spacing w:after="0"/>
            </w:pPr>
            <w:r>
              <w:rPr>
                <w:rFonts w:ascii="Arial" w:hAnsi="Arial"/>
                <w:sz w:val="16"/>
              </w:rPr>
              <w:t>ESP architecture exposes resource abuse, DoS, and personal-data breach surfaces</w:t>
            </w:r>
          </w:p>
        </w:tc>
      </w:tr>
      <w:tr>
        <w:tc>
          <w:tcPr>
            <w:tcW w:type="dxa" w:w="2340"/>
            <w:vAlign w:val="top"/>
            <w:tcMar>
              <w:top w:w="80" w:type="dxa"/>
              <w:start w:w="80" w:type="dxa"/>
              <w:bottom w:w="80" w:type="dxa"/>
              <w:end w:w="80" w:type="dxa"/>
            </w:tcMar>
          </w:tcPr>
          <w:p>
            <w:pPr>
              <w:spacing w:after="0"/>
            </w:pPr>
            <w:r>
              <w:rPr>
                <w:rFonts w:ascii="Arial" w:hAnsi="Arial"/>
                <w:sz w:val="16"/>
              </w:rPr>
              <w:t>Li &amp; Zhang [32]</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E-scooter sharing platforms</w:t>
            </w:r>
          </w:p>
        </w:tc>
        <w:tc>
          <w:tcPr>
            <w:tcW w:type="dxa" w:w="2340"/>
            <w:vAlign w:val="top"/>
            <w:tcMar>
              <w:top w:w="80" w:type="dxa"/>
              <w:start w:w="80" w:type="dxa"/>
              <w:bottom w:w="80" w:type="dxa"/>
              <w:end w:w="80" w:type="dxa"/>
            </w:tcMar>
          </w:tcPr>
          <w:p>
            <w:pPr>
              <w:spacing w:after="0"/>
            </w:pPr>
            <w:r>
              <w:rPr>
                <w:rFonts w:ascii="Arial" w:hAnsi="Arial"/>
                <w:sz w:val="16"/>
              </w:rPr>
              <w:t>Traceable route information drives distinct privacy concern and protective responses</w:t>
            </w:r>
          </w:p>
        </w:tc>
      </w:tr>
      <w:tr>
        <w:tc>
          <w:tcPr>
            <w:tcW w:type="dxa" w:w="2340"/>
            <w:vAlign w:val="top"/>
            <w:tcMar>
              <w:top w:w="80" w:type="dxa"/>
              <w:start w:w="80" w:type="dxa"/>
              <w:bottom w:w="80" w:type="dxa"/>
              <w:end w:w="80" w:type="dxa"/>
            </w:tcMar>
          </w:tcPr>
          <w:p>
            <w:pPr>
              <w:spacing w:after="0"/>
            </w:pPr>
            <w:r>
              <w:rPr>
                <w:rFonts w:ascii="Arial" w:hAnsi="Arial"/>
                <w:sz w:val="16"/>
              </w:rPr>
              <w:t>Petersen [33]</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Rental scooters (Bird, Lime, Spin)</w:t>
            </w:r>
          </w:p>
        </w:tc>
        <w:tc>
          <w:tcPr>
            <w:tcW w:type="dxa" w:w="2340"/>
            <w:vAlign w:val="top"/>
            <w:tcMar>
              <w:top w:w="80" w:type="dxa"/>
              <w:start w:w="80" w:type="dxa"/>
              <w:bottom w:w="80" w:type="dxa"/>
              <w:end w:w="80" w:type="dxa"/>
            </w:tcMar>
          </w:tcPr>
          <w:p>
            <w:pPr>
              <w:spacing w:after="0"/>
            </w:pPr>
            <w:r>
              <w:rPr>
                <w:rFonts w:ascii="Arial" w:hAnsi="Arial"/>
                <w:sz w:val="16"/>
              </w:rPr>
              <w:t>Rental scooters yield a uniquely identifying rider dataset that may be shared or sold</w:t>
            </w:r>
          </w:p>
        </w:tc>
      </w:tr>
      <w:tr>
        <w:tc>
          <w:tcPr>
            <w:tcW w:type="dxa" w:w="2340"/>
            <w:vAlign w:val="top"/>
            <w:tcMar>
              <w:top w:w="80" w:type="dxa"/>
              <w:start w:w="80" w:type="dxa"/>
              <w:bottom w:w="80" w:type="dxa"/>
              <w:end w:w="80" w:type="dxa"/>
            </w:tcMar>
          </w:tcPr>
          <w:p>
            <w:pPr>
              <w:spacing w:after="0"/>
            </w:pPr>
            <w:r>
              <w:rPr>
                <w:rFonts w:ascii="Arial" w:hAnsi="Arial"/>
                <w:sz w:val="16"/>
              </w:rPr>
              <w:t>Sato et al. [31]</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Micromobility vehicles (data-acquisition testbed)</w:t>
            </w:r>
          </w:p>
        </w:tc>
        <w:tc>
          <w:tcPr>
            <w:tcW w:type="dxa" w:w="2340"/>
            <w:vAlign w:val="top"/>
            <w:tcMar>
              <w:top w:w="80" w:type="dxa"/>
              <w:start w:w="80" w:type="dxa"/>
              <w:bottom w:w="80" w:type="dxa"/>
              <w:end w:w="80" w:type="dxa"/>
            </w:tcMar>
          </w:tcPr>
          <w:p>
            <w:pPr>
              <w:spacing w:after="0"/>
            </w:pPr>
            <w:r>
              <w:rPr>
                <w:rFonts w:ascii="Arial" w:hAnsi="Arial"/>
                <w:sz w:val="16"/>
              </w:rPr>
              <w:t>A reproducible framework measures cyberphysical security-attack impact on micromobility vehicles</w:t>
            </w:r>
          </w:p>
        </w:tc>
      </w:tr>
      <w:tr>
        <w:tc>
          <w:tcPr>
            <w:tcW w:type="dxa" w:w="2340"/>
            <w:vAlign w:val="top"/>
            <w:tcMar>
              <w:top w:w="80" w:type="dxa"/>
              <w:start w:w="80" w:type="dxa"/>
              <w:bottom w:w="80" w:type="dxa"/>
              <w:end w:w="80" w:type="dxa"/>
            </w:tcMar>
          </w:tcPr>
          <w:p>
            <w:pPr>
              <w:spacing w:after="0"/>
            </w:pPr>
            <w:r>
              <w:rPr>
                <w:rFonts w:ascii="Arial" w:hAnsi="Arial"/>
                <w:sz w:val="16"/>
              </w:rPr>
              <w:t>Vinayaga-Sureshkanth et al. [29]</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Intelligent urban micromobility ecosystem</w:t>
            </w:r>
          </w:p>
        </w:tc>
        <w:tc>
          <w:tcPr>
            <w:tcW w:type="dxa" w:w="2340"/>
            <w:vAlign w:val="top"/>
            <w:tcMar>
              <w:top w:w="80" w:type="dxa"/>
              <w:start w:w="80" w:type="dxa"/>
              <w:bottom w:w="80" w:type="dxa"/>
              <w:end w:w="80" w:type="dxa"/>
            </w:tcMar>
          </w:tcPr>
          <w:p>
            <w:pPr>
              <w:spacing w:after="0"/>
            </w:pPr>
            <w:r>
              <w:rPr>
                <w:rFonts w:ascii="Arial" w:hAnsi="Arial"/>
                <w:sz w:val="16"/>
              </w:rPr>
              <w:t>The vehicle-provider-rider ecosystem is an exploitable attack surface for security and privacy</w:t>
            </w:r>
          </w:p>
        </w:tc>
      </w:tr>
      <w:tr>
        <w:tc>
          <w:tcPr>
            <w:tcW w:type="dxa" w:w="2340"/>
            <w:vAlign w:val="top"/>
            <w:tcMar>
              <w:top w:w="80" w:type="dxa"/>
              <w:start w:w="80" w:type="dxa"/>
              <w:bottom w:w="80" w:type="dxa"/>
              <w:end w:w="80" w:type="dxa"/>
            </w:tcMar>
          </w:tcPr>
          <w:p>
            <w:pPr>
              <w:spacing w:after="0"/>
            </w:pPr>
            <w:r>
              <w:rPr>
                <w:rFonts w:ascii="Arial" w:hAnsi="Arial"/>
                <w:sz w:val="16"/>
              </w:rPr>
              <w:t>Yilmaz &amp; Karsligil [30]</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E-scooter sharing (GPS/Wi-Fi positioning)</w:t>
            </w:r>
          </w:p>
        </w:tc>
        <w:tc>
          <w:tcPr>
            <w:tcW w:type="dxa" w:w="2340"/>
            <w:vAlign w:val="top"/>
            <w:tcMar>
              <w:top w:w="80" w:type="dxa"/>
              <w:start w:w="80" w:type="dxa"/>
              <w:bottom w:w="80" w:type="dxa"/>
              <w:end w:w="80" w:type="dxa"/>
            </w:tcMar>
          </w:tcPr>
          <w:p>
            <w:pPr>
              <w:spacing w:after="0"/>
            </w:pPr>
            <w:r>
              <w:rPr>
                <w:rFonts w:ascii="Arial" w:hAnsi="Arial"/>
                <w:sz w:val="16"/>
              </w:rPr>
              <w:t>Shared e-scooter positioning inherits known spoofing vulnerabilities</w:t>
            </w:r>
          </w:p>
        </w:tc>
      </w:tr>
      <w:tr>
        <w:tc>
          <w:tcPr>
            <w:tcW w:type="dxa" w:w="2340"/>
            <w:vAlign w:val="top"/>
            <w:tcMar>
              <w:top w:w="80" w:type="dxa"/>
              <w:start w:w="80" w:type="dxa"/>
              <w:bottom w:w="80" w:type="dxa"/>
              <w:end w:w="80" w:type="dxa"/>
            </w:tcMar>
          </w:tcPr>
          <w:p>
            <w:pPr>
              <w:spacing w:after="0"/>
            </w:pPr>
            <w:r>
              <w:rPr>
                <w:rFonts w:ascii="Arial" w:hAnsi="Arial"/>
                <w:sz w:val="16"/>
              </w:rPr>
              <w:t>Yilmaz &amp; Karsligil [11]</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E-scooter sharing (geo-location services)</w:t>
            </w:r>
          </w:p>
        </w:tc>
        <w:tc>
          <w:tcPr>
            <w:tcW w:type="dxa" w:w="2340"/>
            <w:vAlign w:val="top"/>
            <w:tcMar>
              <w:top w:w="80" w:type="dxa"/>
              <w:start w:w="80" w:type="dxa"/>
              <w:bottom w:w="80" w:type="dxa"/>
              <w:end w:w="80" w:type="dxa"/>
            </w:tcMar>
          </w:tcPr>
          <w:p>
            <w:pPr>
              <w:spacing w:after="0"/>
            </w:pPr>
            <w:r>
              <w:rPr>
                <w:rFonts w:ascii="Arial" w:hAnsi="Arial"/>
                <w:sz w:val="16"/>
              </w:rPr>
              <w:t>E-scooter positioning is vulnerable to spoofing affecting cost, reliability, and safety</w:t>
            </w:r>
          </w:p>
        </w:tc>
      </w:tr>
      <w:tr>
        <w:tc>
          <w:tcPr>
            <w:tcW w:type="dxa" w:w="2340"/>
            <w:vAlign w:val="top"/>
            <w:tcMar>
              <w:top w:w="80" w:type="dxa"/>
              <w:start w:w="80" w:type="dxa"/>
              <w:bottom w:w="80" w:type="dxa"/>
              <w:end w:w="80" w:type="dxa"/>
            </w:tcMar>
          </w:tcPr>
          <w:p>
            <w:pPr>
              <w:spacing w:after="0"/>
            </w:pPr>
            <w:r>
              <w:rPr>
                <w:rFonts w:ascii="Arial" w:hAnsi="Arial"/>
                <w:sz w:val="16"/>
              </w:rPr>
              <w:t>Zhou [34]</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Dockless bikeshare platforms</w:t>
            </w:r>
          </w:p>
        </w:tc>
        <w:tc>
          <w:tcPr>
            <w:tcW w:type="dxa" w:w="2340"/>
            <w:vAlign w:val="top"/>
            <w:tcMar>
              <w:top w:w="80" w:type="dxa"/>
              <w:start w:w="80" w:type="dxa"/>
              <w:bottom w:w="80" w:type="dxa"/>
              <w:end w:w="80" w:type="dxa"/>
            </w:tcMar>
          </w:tcPr>
          <w:p>
            <w:pPr>
              <w:spacing w:after="0"/>
            </w:pPr>
            <w:r>
              <w:rPr>
                <w:rFonts w:ascii="Arial" w:hAnsi="Arial"/>
                <w:sz w:val="16"/>
              </w:rPr>
              <w:t>Trajectory data extraction is core to bikeshare business models but poorly understood by users</w:t>
            </w:r>
          </w:p>
        </w:tc>
      </w:tr>
      <w:tr>
        <w:tc>
          <w:tcPr>
            <w:tcW w:type="dxa" w:w="2340"/>
            <w:vAlign w:val="top"/>
            <w:tcMar>
              <w:top w:w="80" w:type="dxa"/>
              <w:start w:w="80" w:type="dxa"/>
              <w:bottom w:w="80" w:type="dxa"/>
              <w:end w:w="80" w:type="dxa"/>
            </w:tcMar>
          </w:tcPr>
          <w:p>
            <w:pPr>
              <w:spacing w:after="0"/>
            </w:pPr>
            <w:r>
              <w:rPr>
                <w:rFonts w:ascii="Arial" w:hAnsi="Arial"/>
                <w:sz w:val="16"/>
              </w:rPr>
              <w:t>Basic et al. [16]</w:t>
            </w:r>
          </w:p>
        </w:tc>
        <w:tc>
          <w:tcPr>
            <w:tcW w:type="dxa" w:w="2340"/>
            <w:vAlign w:val="top"/>
            <w:tcMar>
              <w:top w:w="80" w:type="dxa"/>
              <w:start w:w="80" w:type="dxa"/>
              <w:bottom w:w="80" w:type="dxa"/>
              <w:end w:w="80" w:type="dxa"/>
            </w:tcMar>
          </w:tcPr>
          <w:p>
            <w:pPr>
              <w:spacing w:after="0"/>
            </w:pPr>
            <w:r>
              <w:rPr>
                <w:rFonts w:ascii="Arial" w:hAnsi="Arial"/>
                <w:sz w:val="16"/>
              </w:rPr>
              <w:t>D2 near-domain</w:t>
            </w:r>
          </w:p>
        </w:tc>
        <w:tc>
          <w:tcPr>
            <w:tcW w:type="dxa" w:w="2340"/>
            <w:vAlign w:val="top"/>
            <w:tcMar>
              <w:top w:w="80" w:type="dxa"/>
              <w:start w:w="80" w:type="dxa"/>
              <w:bottom w:w="80" w:type="dxa"/>
              <w:end w:w="80" w:type="dxa"/>
            </w:tcMar>
          </w:tcPr>
          <w:p>
            <w:pPr>
              <w:spacing w:after="0"/>
            </w:pPr>
            <w:r>
              <w:rPr>
                <w:rFonts w:ascii="Arial" w:hAnsi="Arial"/>
                <w:sz w:val="16"/>
              </w:rPr>
              <w:t>Battery management systems (EV batteries)</w:t>
            </w:r>
          </w:p>
        </w:tc>
        <w:tc>
          <w:tcPr>
            <w:tcW w:type="dxa" w:w="2340"/>
            <w:vAlign w:val="top"/>
            <w:tcMar>
              <w:top w:w="80" w:type="dxa"/>
              <w:start w:w="80" w:type="dxa"/>
              <w:bottom w:w="80" w:type="dxa"/>
              <w:end w:w="80" w:type="dxa"/>
            </w:tcMar>
          </w:tcPr>
          <w:p>
            <w:pPr>
              <w:spacing w:after="0"/>
            </w:pPr>
            <w:r>
              <w:rPr>
                <w:rFonts w:ascii="Arial" w:hAnsi="Arial"/>
                <w:sz w:val="16"/>
              </w:rPr>
              <w:t>Regulated battery passports generate lifecycle data spanning use, second-life, and recycling</w:t>
            </w:r>
          </w:p>
        </w:tc>
      </w:tr>
      <w:tr>
        <w:tc>
          <w:tcPr>
            <w:tcW w:type="dxa" w:w="2340"/>
            <w:vAlign w:val="top"/>
            <w:tcMar>
              <w:top w:w="80" w:type="dxa"/>
              <w:start w:w="80" w:type="dxa"/>
              <w:bottom w:w="80" w:type="dxa"/>
              <w:end w:w="80" w:type="dxa"/>
            </w:tcMar>
          </w:tcPr>
          <w:p>
            <w:pPr>
              <w:spacing w:after="0"/>
            </w:pPr>
            <w:r>
              <w:rPr>
                <w:rFonts w:ascii="Arial" w:hAnsi="Arial"/>
                <w:sz w:val="16"/>
              </w:rPr>
              <w:t>Joshi &amp; Raval [14]</w:t>
            </w:r>
          </w:p>
        </w:tc>
        <w:tc>
          <w:tcPr>
            <w:tcW w:type="dxa" w:w="2340"/>
            <w:vAlign w:val="top"/>
            <w:tcMar>
              <w:top w:w="80" w:type="dxa"/>
              <w:start w:w="80" w:type="dxa"/>
              <w:bottom w:w="80" w:type="dxa"/>
              <w:end w:w="80" w:type="dxa"/>
            </w:tcMar>
          </w:tcPr>
          <w:p>
            <w:pPr>
              <w:spacing w:after="0"/>
            </w:pPr>
            <w:r>
              <w:rPr>
                <w:rFonts w:ascii="Arial" w:hAnsi="Arial"/>
                <w:sz w:val="16"/>
              </w:rPr>
              <w:t>D2 near-domain</w:t>
            </w:r>
          </w:p>
        </w:tc>
        <w:tc>
          <w:tcPr>
            <w:tcW w:type="dxa" w:w="2340"/>
            <w:vAlign w:val="top"/>
            <w:tcMar>
              <w:top w:w="80" w:type="dxa"/>
              <w:start w:w="80" w:type="dxa"/>
              <w:bottom w:w="80" w:type="dxa"/>
              <w:end w:w="80" w:type="dxa"/>
            </w:tcMar>
          </w:tcPr>
          <w:p>
            <w:pPr>
              <w:spacing w:after="0"/>
            </w:pPr>
            <w:r>
              <w:rPr>
                <w:rFonts w:ascii="Arial" w:hAnsi="Arial"/>
                <w:sz w:val="16"/>
              </w:rPr>
              <w:t>Cloud storage media</w:t>
            </w:r>
          </w:p>
        </w:tc>
        <w:tc>
          <w:tcPr>
            <w:tcW w:type="dxa" w:w="2340"/>
            <w:vAlign w:val="top"/>
            <w:tcMar>
              <w:top w:w="80" w:type="dxa"/>
              <w:start w:w="80" w:type="dxa"/>
              <w:bottom w:w="80" w:type="dxa"/>
              <w:end w:w="80" w:type="dxa"/>
            </w:tcMar>
          </w:tcPr>
          <w:p>
            <w:pPr>
              <w:spacing w:after="0"/>
            </w:pPr>
            <w:r>
              <w:rPr>
                <w:rFonts w:ascii="Arial" w:hAnsi="Arial"/>
                <w:sz w:val="16"/>
              </w:rPr>
              <w:t>Inadequate media sanitization leaves recoverable residual data via remanence</w:t>
            </w:r>
          </w:p>
        </w:tc>
      </w:tr>
      <w:tr>
        <w:tc>
          <w:tcPr>
            <w:tcW w:type="dxa" w:w="2340"/>
            <w:vAlign w:val="top"/>
            <w:tcMar>
              <w:top w:w="80" w:type="dxa"/>
              <w:start w:w="80" w:type="dxa"/>
              <w:bottom w:w="80" w:type="dxa"/>
              <w:end w:w="80" w:type="dxa"/>
            </w:tcMar>
          </w:tcPr>
          <w:p>
            <w:pPr>
              <w:spacing w:after="0"/>
            </w:pPr>
            <w:r>
              <w:rPr>
                <w:rFonts w:ascii="Arial" w:hAnsi="Arial"/>
                <w:sz w:val="16"/>
              </w:rPr>
              <w:t>Liu et al. [13]</w:t>
            </w:r>
          </w:p>
        </w:tc>
        <w:tc>
          <w:tcPr>
            <w:tcW w:type="dxa" w:w="2340"/>
            <w:vAlign w:val="top"/>
            <w:tcMar>
              <w:top w:w="80" w:type="dxa"/>
              <w:start w:w="80" w:type="dxa"/>
              <w:bottom w:w="80" w:type="dxa"/>
              <w:end w:w="80" w:type="dxa"/>
            </w:tcMar>
          </w:tcPr>
          <w:p>
            <w:pPr>
              <w:spacing w:after="0"/>
            </w:pPr>
            <w:r>
              <w:rPr>
                <w:rFonts w:ascii="Arial" w:hAnsi="Arial"/>
                <w:sz w:val="16"/>
              </w:rPr>
              <w:t>D2 near-domain</w:t>
            </w:r>
          </w:p>
        </w:tc>
        <w:tc>
          <w:tcPr>
            <w:tcW w:type="dxa" w:w="2340"/>
            <w:vAlign w:val="top"/>
            <w:tcMar>
              <w:top w:w="80" w:type="dxa"/>
              <w:start w:w="80" w:type="dxa"/>
              <w:bottom w:w="80" w:type="dxa"/>
              <w:end w:w="80" w:type="dxa"/>
            </w:tcMar>
          </w:tcPr>
          <w:p>
            <w:pPr>
              <w:spacing w:after="0"/>
            </w:pPr>
            <w:r>
              <w:rPr>
                <w:rFonts w:ascii="Arial" w:hAnsi="Arial"/>
                <w:sz w:val="16"/>
              </w:rPr>
              <w:t>Used IoT devices (resale market)</w:t>
            </w:r>
          </w:p>
        </w:tc>
        <w:tc>
          <w:tcPr>
            <w:tcW w:type="dxa" w:w="2340"/>
            <w:vAlign w:val="top"/>
            <w:tcMar>
              <w:top w:w="80" w:type="dxa"/>
              <w:start w:w="80" w:type="dxa"/>
              <w:bottom w:w="80" w:type="dxa"/>
              <w:end w:w="80" w:type="dxa"/>
            </w:tcMar>
          </w:tcPr>
          <w:p>
            <w:pPr>
              <w:spacing w:after="0"/>
            </w:pPr>
            <w:r>
              <w:rPr>
                <w:rFonts w:ascii="Arial" w:hAnsi="Arial"/>
                <w:sz w:val="16"/>
              </w:rPr>
              <w:t>Resold IoT devices frequently retain recoverable sensitive user data</w:t>
            </w:r>
          </w:p>
        </w:tc>
      </w:tr>
      <w:tr>
        <w:tc>
          <w:tcPr>
            <w:tcW w:type="dxa" w:w="2340"/>
            <w:vAlign w:val="top"/>
            <w:tcMar>
              <w:top w:w="80" w:type="dxa"/>
              <w:start w:w="80" w:type="dxa"/>
              <w:bottom w:w="80" w:type="dxa"/>
              <w:end w:w="80" w:type="dxa"/>
            </w:tcMar>
          </w:tcPr>
          <w:p>
            <w:pPr>
              <w:spacing w:after="0"/>
            </w:pPr>
            <w:r>
              <w:rPr>
                <w:rFonts w:ascii="Arial" w:hAnsi="Arial"/>
                <w:sz w:val="16"/>
              </w:rPr>
              <w:t>Marchiori et al. [15]</w:t>
            </w:r>
          </w:p>
        </w:tc>
        <w:tc>
          <w:tcPr>
            <w:tcW w:type="dxa" w:w="2340"/>
            <w:vAlign w:val="top"/>
            <w:tcMar>
              <w:top w:w="80" w:type="dxa"/>
              <w:start w:w="80" w:type="dxa"/>
              <w:bottom w:w="80" w:type="dxa"/>
              <w:end w:w="80" w:type="dxa"/>
            </w:tcMar>
          </w:tcPr>
          <w:p>
            <w:pPr>
              <w:spacing w:after="0"/>
            </w:pPr>
            <w:r>
              <w:rPr>
                <w:rFonts w:ascii="Arial" w:hAnsi="Arial"/>
                <w:sz w:val="16"/>
              </w:rPr>
              <w:t>D2 near-domain</w:t>
            </w:r>
          </w:p>
        </w:tc>
        <w:tc>
          <w:tcPr>
            <w:tcW w:type="dxa" w:w="2340"/>
            <w:vAlign w:val="top"/>
            <w:tcMar>
              <w:top w:w="80" w:type="dxa"/>
              <w:start w:w="80" w:type="dxa"/>
              <w:bottom w:w="80" w:type="dxa"/>
              <w:end w:w="80" w:type="dxa"/>
            </w:tcMar>
          </w:tcPr>
          <w:p>
            <w:pPr>
              <w:spacing w:after="0"/>
            </w:pPr>
            <w:r>
              <w:rPr>
                <w:rFonts w:ascii="Arial" w:hAnsi="Arial"/>
                <w:sz w:val="16"/>
              </w:rPr>
              <w:t>Electric vehicles (battery side channel)</w:t>
            </w:r>
          </w:p>
        </w:tc>
        <w:tc>
          <w:tcPr>
            <w:tcW w:type="dxa" w:w="2340"/>
            <w:vAlign w:val="top"/>
            <w:tcMar>
              <w:top w:w="80" w:type="dxa"/>
              <w:start w:w="80" w:type="dxa"/>
              <w:bottom w:w="80" w:type="dxa"/>
              <w:end w:w="80" w:type="dxa"/>
            </w:tcMar>
          </w:tcPr>
          <w:p>
            <w:pPr>
              <w:spacing w:after="0"/>
            </w:pPr>
            <w:r>
              <w:rPr>
                <w:rFonts w:ascii="Arial" w:hAnsi="Arial"/>
                <w:sz w:val="16"/>
              </w:rPr>
              <w:t>Battery side channels leak operational information without explicit location data</w:t>
            </w:r>
          </w:p>
        </w:tc>
      </w:tr>
    </w:tbl>
    <w:p/>
    <w:p>
      <w:pPr>
        <w:pStyle w:val="Heading2"/>
      </w:pPr>
      <w:r>
        <w:t>3.2. Public GBFS field audit (RQ2)</w:t>
      </w:r>
    </w:p>
    <w:p>
      <w:pPr>
        <w:ind w:firstLine="432"/>
        <w:jc w:val="both"/>
      </w:pPr>
      <w:r>
        <w:rPr>
          <w:rFonts w:ascii="Times New Roman" w:hAnsi="Times New Roman"/>
          <w:sz w:val="24"/>
        </w:rPr>
        <w:t>Of 1,520 registry systems, 94.0% (95% CI 92.6-95.0%; n = 1,428) exposed a reachable auto-discovery endpoint, 90.8% of reachable systems declared a vehicle-status feed, and 89.5% of successfully retrieved feeds contained at least one vehicle (Table 3). Restricting to the 813 non-empty feeds that declared motorized micromobility, a vehicle identifier was present in 100.0% of feeds and latitude/longitude in 99.4% (Fig. 3). The remaining fields were published less consistently: current range in 98.7%, vehicle-specific rental links in 79.1%, last-reported timestamps in 77.4%, and battery or fuel percentage in 68.9%.</w:t>
      </w:r>
    </w:p>
    <w:p>
      <w:pPr>
        <w:ind w:firstLine="432"/>
        <w:jc w:val="both"/>
      </w:pPr>
      <w:r>
        <w:rPr>
          <w:rFonts w:ascii="Times New Roman" w:hAnsi="Times New Roman"/>
          <w:sz w:val="24"/>
        </w:rPr>
        <w:t>The operator-domain sensitivity analysis indicates that these are not artefacts of a few large operators. Across 147 eligible operator domains, a vehicle identifier appeared in every eligible feed for 100.0% of domains and latitude/longitude for 96.6%, whereas battery percentage was present in at least one eligible feed for only 64.0% of domains. These figures describe what is disclosed publicly; they do not describe what operators collect or store on their backends, which the public feed cannot reveal.</w:t>
      </w:r>
    </w:p>
    <w:p>
      <w:pPr>
        <w:spacing w:before="120" w:after="280"/>
        <w:jc w:val="center"/>
      </w:pPr>
      <w:r>
        <w:rPr>
          <w:i/>
          <w:sz w:val="20"/>
        </w:rPr>
        <w:t>Figure 3. Prevalence of disclosed fields in 813 successfully retrieved, non-empty public vehicle-status feeds that declared motorized micromobility. Bars show the point estimate; whiskers show the 95% Wilson confidence interval. Field presence is a disclosure signal, not evidence of a privacy harm.</w:t>
      </w:r>
    </w:p>
    <w:p>
      <w:pPr>
        <w:spacing w:before="280" w:after="120"/>
      </w:pPr>
      <w:r>
        <w:rPr>
          <w:b/>
        </w:rPr>
        <w:t>Table 3. GBFS audit sampling and outcomes with 95% Wilson confidence intervals. Denominators are stated explicitly; unavailable or empty feeds are separated from absent fields.</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1872"/>
        <w:gridCol w:w="1872"/>
        <w:gridCol w:w="1872"/>
        <w:gridCol w:w="1872"/>
        <w:gridCol w:w="1872"/>
      </w:tblGrid>
      <w:tr>
        <w:tc>
          <w:tcPr>
            <w:tcW w:type="dxa" w:w="1872"/>
            <w:vAlign w:val="center"/>
            <w:tcMar>
              <w:top w:w="80" w:type="dxa"/>
              <w:start w:w="80" w:type="dxa"/>
              <w:bottom w:w="80" w:type="dxa"/>
              <w:end w:w="80" w:type="dxa"/>
            </w:tcMar>
          </w:tcPr>
          <w:p>
            <w:r>
              <w:rPr>
                <w:rFonts w:ascii="Arial" w:hAnsi="Arial"/>
                <w:b/>
                <w:sz w:val="16"/>
              </w:rPr>
              <w:t>Stratum / outcome</w:t>
            </w:r>
          </w:p>
        </w:tc>
        <w:tc>
          <w:tcPr>
            <w:tcW w:type="dxa" w:w="1872"/>
            <w:vAlign w:val="center"/>
            <w:tcMar>
              <w:top w:w="80" w:type="dxa"/>
              <w:start w:w="80" w:type="dxa"/>
              <w:bottom w:w="80" w:type="dxa"/>
              <w:end w:w="80" w:type="dxa"/>
            </w:tcMar>
          </w:tcPr>
          <w:p>
            <w:r>
              <w:rPr>
                <w:rFonts w:ascii="Arial" w:hAnsi="Arial"/>
                <w:b/>
                <w:sz w:val="16"/>
              </w:rPr>
              <w:t>n</w:t>
            </w:r>
          </w:p>
        </w:tc>
        <w:tc>
          <w:tcPr>
            <w:tcW w:type="dxa" w:w="1872"/>
            <w:vAlign w:val="center"/>
            <w:tcMar>
              <w:top w:w="80" w:type="dxa"/>
              <w:start w:w="80" w:type="dxa"/>
              <w:bottom w:w="80" w:type="dxa"/>
              <w:end w:w="80" w:type="dxa"/>
            </w:tcMar>
          </w:tcPr>
          <w:p>
            <w:r>
              <w:rPr>
                <w:rFonts w:ascii="Arial" w:hAnsi="Arial"/>
                <w:b/>
                <w:sz w:val="16"/>
              </w:rPr>
              <w:t>Denominator</w:t>
            </w:r>
          </w:p>
        </w:tc>
        <w:tc>
          <w:tcPr>
            <w:tcW w:type="dxa" w:w="1872"/>
            <w:vAlign w:val="center"/>
            <w:tcMar>
              <w:top w:w="80" w:type="dxa"/>
              <w:start w:w="80" w:type="dxa"/>
              <w:bottom w:w="80" w:type="dxa"/>
              <w:end w:w="80" w:type="dxa"/>
            </w:tcMar>
          </w:tcPr>
          <w:p>
            <w:r>
              <w:rPr>
                <w:rFonts w:ascii="Arial" w:hAnsi="Arial"/>
                <w:b/>
                <w:sz w:val="16"/>
              </w:rPr>
              <w:t>Percent</w:t>
            </w:r>
          </w:p>
        </w:tc>
        <w:tc>
          <w:tcPr>
            <w:tcW w:type="dxa" w:w="1872"/>
            <w:vAlign w:val="center"/>
            <w:tcMar>
              <w:top w:w="80" w:type="dxa"/>
              <w:start w:w="80" w:type="dxa"/>
              <w:bottom w:w="80" w:type="dxa"/>
              <w:end w:w="80" w:type="dxa"/>
            </w:tcMar>
          </w:tcPr>
          <w:p>
            <w:r>
              <w:rPr>
                <w:rFonts w:ascii="Arial" w:hAnsi="Arial"/>
                <w:b/>
                <w:sz w:val="16"/>
              </w:rPr>
              <w:t>95% CI</w:t>
            </w:r>
          </w:p>
        </w:tc>
      </w:tr>
      <w:tr>
        <w:tc>
          <w:tcPr>
            <w:tcW w:type="dxa" w:w="1872"/>
            <w:vAlign w:val="top"/>
            <w:tcMar>
              <w:top w:w="80" w:type="dxa"/>
              <w:start w:w="80" w:type="dxa"/>
              <w:bottom w:w="80" w:type="dxa"/>
              <w:end w:w="80" w:type="dxa"/>
            </w:tcMar>
          </w:tcPr>
          <w:p>
            <w:pPr>
              <w:spacing w:after="0"/>
            </w:pPr>
            <w:r>
              <w:rPr>
                <w:rFonts w:ascii="Arial" w:hAnsi="Arial"/>
                <w:sz w:val="16"/>
              </w:rPr>
              <w:t>Reachable auto-discovery endpoint</w:t>
            </w:r>
          </w:p>
        </w:tc>
        <w:tc>
          <w:tcPr>
            <w:tcW w:type="dxa" w:w="1872"/>
            <w:vAlign w:val="top"/>
            <w:tcMar>
              <w:top w:w="80" w:type="dxa"/>
              <w:start w:w="80" w:type="dxa"/>
              <w:bottom w:w="80" w:type="dxa"/>
              <w:end w:w="80" w:type="dxa"/>
            </w:tcMar>
          </w:tcPr>
          <w:p>
            <w:pPr>
              <w:spacing w:after="0"/>
            </w:pPr>
            <w:r>
              <w:rPr>
                <w:rFonts w:ascii="Arial" w:hAnsi="Arial"/>
                <w:sz w:val="16"/>
              </w:rPr>
              <w:t>1428</w:t>
            </w:r>
          </w:p>
        </w:tc>
        <w:tc>
          <w:tcPr>
            <w:tcW w:type="dxa" w:w="1872"/>
            <w:vAlign w:val="top"/>
            <w:tcMar>
              <w:top w:w="80" w:type="dxa"/>
              <w:start w:w="80" w:type="dxa"/>
              <w:bottom w:w="80" w:type="dxa"/>
              <w:end w:w="80" w:type="dxa"/>
            </w:tcMar>
          </w:tcPr>
          <w:p>
            <w:pPr>
              <w:spacing w:after="0"/>
            </w:pPr>
            <w:r>
              <w:rPr>
                <w:rFonts w:ascii="Arial" w:hAnsi="Arial"/>
                <w:sz w:val="16"/>
              </w:rPr>
              <w:t>1520</w:t>
            </w:r>
          </w:p>
        </w:tc>
        <w:tc>
          <w:tcPr>
            <w:tcW w:type="dxa" w:w="1872"/>
            <w:vAlign w:val="top"/>
            <w:tcMar>
              <w:top w:w="80" w:type="dxa"/>
              <w:start w:w="80" w:type="dxa"/>
              <w:bottom w:w="80" w:type="dxa"/>
              <w:end w:w="80" w:type="dxa"/>
            </w:tcMar>
          </w:tcPr>
          <w:p>
            <w:pPr>
              <w:spacing w:after="0"/>
            </w:pPr>
            <w:r>
              <w:rPr>
                <w:rFonts w:ascii="Arial" w:hAnsi="Arial"/>
                <w:sz w:val="16"/>
              </w:rPr>
              <w:t>94.0%</w:t>
            </w:r>
          </w:p>
        </w:tc>
        <w:tc>
          <w:tcPr>
            <w:tcW w:type="dxa" w:w="1872"/>
            <w:vAlign w:val="top"/>
            <w:tcMar>
              <w:top w:w="80" w:type="dxa"/>
              <w:start w:w="80" w:type="dxa"/>
              <w:bottom w:w="80" w:type="dxa"/>
              <w:end w:w="80" w:type="dxa"/>
            </w:tcMar>
          </w:tcPr>
          <w:p>
            <w:pPr>
              <w:spacing w:after="0"/>
            </w:pPr>
            <w:r>
              <w:rPr>
                <w:rFonts w:ascii="Arial" w:hAnsi="Arial"/>
                <w:sz w:val="16"/>
              </w:rPr>
              <w:t>92.6-95.0%</w:t>
            </w:r>
          </w:p>
        </w:tc>
      </w:tr>
      <w:tr>
        <w:tc>
          <w:tcPr>
            <w:tcW w:type="dxa" w:w="1872"/>
            <w:vAlign w:val="top"/>
            <w:tcMar>
              <w:top w:w="80" w:type="dxa"/>
              <w:start w:w="80" w:type="dxa"/>
              <w:bottom w:w="80" w:type="dxa"/>
              <w:end w:w="80" w:type="dxa"/>
            </w:tcMar>
          </w:tcPr>
          <w:p>
            <w:pPr>
              <w:spacing w:after="0"/>
            </w:pPr>
            <w:r>
              <w:rPr>
                <w:rFonts w:ascii="Arial" w:hAnsi="Arial"/>
                <w:sz w:val="16"/>
              </w:rPr>
              <w:t>Vehicle-status feed declared</w:t>
            </w:r>
          </w:p>
        </w:tc>
        <w:tc>
          <w:tcPr>
            <w:tcW w:type="dxa" w:w="1872"/>
            <w:vAlign w:val="top"/>
            <w:tcMar>
              <w:top w:w="80" w:type="dxa"/>
              <w:start w:w="80" w:type="dxa"/>
              <w:bottom w:w="80" w:type="dxa"/>
              <w:end w:w="80" w:type="dxa"/>
            </w:tcMar>
          </w:tcPr>
          <w:p>
            <w:pPr>
              <w:spacing w:after="0"/>
            </w:pPr>
            <w:r>
              <w:rPr>
                <w:rFonts w:ascii="Arial" w:hAnsi="Arial"/>
                <w:sz w:val="16"/>
              </w:rPr>
              <w:t>1297</w:t>
            </w:r>
          </w:p>
        </w:tc>
        <w:tc>
          <w:tcPr>
            <w:tcW w:type="dxa" w:w="1872"/>
            <w:vAlign w:val="top"/>
            <w:tcMar>
              <w:top w:w="80" w:type="dxa"/>
              <w:start w:w="80" w:type="dxa"/>
              <w:bottom w:w="80" w:type="dxa"/>
              <w:end w:w="80" w:type="dxa"/>
            </w:tcMar>
          </w:tcPr>
          <w:p>
            <w:pPr>
              <w:spacing w:after="0"/>
            </w:pPr>
            <w:r>
              <w:rPr>
                <w:rFonts w:ascii="Arial" w:hAnsi="Arial"/>
                <w:sz w:val="16"/>
              </w:rPr>
              <w:t>1428</w:t>
            </w:r>
          </w:p>
        </w:tc>
        <w:tc>
          <w:tcPr>
            <w:tcW w:type="dxa" w:w="1872"/>
            <w:vAlign w:val="top"/>
            <w:tcMar>
              <w:top w:w="80" w:type="dxa"/>
              <w:start w:w="80" w:type="dxa"/>
              <w:bottom w:w="80" w:type="dxa"/>
              <w:end w:w="80" w:type="dxa"/>
            </w:tcMar>
          </w:tcPr>
          <w:p>
            <w:pPr>
              <w:spacing w:after="0"/>
            </w:pPr>
            <w:r>
              <w:rPr>
                <w:rFonts w:ascii="Arial" w:hAnsi="Arial"/>
                <w:sz w:val="16"/>
              </w:rPr>
              <w:t>90.8%</w:t>
            </w:r>
          </w:p>
        </w:tc>
        <w:tc>
          <w:tcPr>
            <w:tcW w:type="dxa" w:w="1872"/>
            <w:vAlign w:val="top"/>
            <w:tcMar>
              <w:top w:w="80" w:type="dxa"/>
              <w:start w:w="80" w:type="dxa"/>
              <w:bottom w:w="80" w:type="dxa"/>
              <w:end w:w="80" w:type="dxa"/>
            </w:tcMar>
          </w:tcPr>
          <w:p>
            <w:pPr>
              <w:spacing w:after="0"/>
            </w:pPr>
            <w:r>
              <w:rPr>
                <w:rFonts w:ascii="Arial" w:hAnsi="Arial"/>
                <w:sz w:val="16"/>
              </w:rPr>
              <w:t>89.2-92.2%</w:t>
            </w:r>
          </w:p>
        </w:tc>
      </w:tr>
      <w:tr>
        <w:tc>
          <w:tcPr>
            <w:tcW w:type="dxa" w:w="1872"/>
            <w:vAlign w:val="top"/>
            <w:tcMar>
              <w:top w:w="80" w:type="dxa"/>
              <w:start w:w="80" w:type="dxa"/>
              <w:bottom w:w="80" w:type="dxa"/>
              <w:end w:w="80" w:type="dxa"/>
            </w:tcMar>
          </w:tcPr>
          <w:p>
            <w:pPr>
              <w:spacing w:after="0"/>
            </w:pPr>
            <w:r>
              <w:rPr>
                <w:rFonts w:ascii="Arial" w:hAnsi="Arial"/>
                <w:sz w:val="16"/>
              </w:rPr>
              <w:t>Retrieved feed with &gt;=1 vehicle</w:t>
            </w:r>
          </w:p>
        </w:tc>
        <w:tc>
          <w:tcPr>
            <w:tcW w:type="dxa" w:w="1872"/>
            <w:vAlign w:val="top"/>
            <w:tcMar>
              <w:top w:w="80" w:type="dxa"/>
              <w:start w:w="80" w:type="dxa"/>
              <w:bottom w:w="80" w:type="dxa"/>
              <w:end w:w="80" w:type="dxa"/>
            </w:tcMar>
          </w:tcPr>
          <w:p>
            <w:pPr>
              <w:spacing w:after="0"/>
            </w:pPr>
            <w:r>
              <w:rPr>
                <w:rFonts w:ascii="Arial" w:hAnsi="Arial"/>
                <w:sz w:val="16"/>
              </w:rPr>
              <w:t>1155</w:t>
            </w:r>
          </w:p>
        </w:tc>
        <w:tc>
          <w:tcPr>
            <w:tcW w:type="dxa" w:w="1872"/>
            <w:vAlign w:val="top"/>
            <w:tcMar>
              <w:top w:w="80" w:type="dxa"/>
              <w:start w:w="80" w:type="dxa"/>
              <w:bottom w:w="80" w:type="dxa"/>
              <w:end w:w="80" w:type="dxa"/>
            </w:tcMar>
          </w:tcPr>
          <w:p>
            <w:pPr>
              <w:spacing w:after="0"/>
            </w:pPr>
            <w:r>
              <w:rPr>
                <w:rFonts w:ascii="Arial" w:hAnsi="Arial"/>
                <w:sz w:val="16"/>
              </w:rPr>
              <w:t>1291</w:t>
            </w:r>
          </w:p>
        </w:tc>
        <w:tc>
          <w:tcPr>
            <w:tcW w:type="dxa" w:w="1872"/>
            <w:vAlign w:val="top"/>
            <w:tcMar>
              <w:top w:w="80" w:type="dxa"/>
              <w:start w:w="80" w:type="dxa"/>
              <w:bottom w:w="80" w:type="dxa"/>
              <w:end w:w="80" w:type="dxa"/>
            </w:tcMar>
          </w:tcPr>
          <w:p>
            <w:pPr>
              <w:spacing w:after="0"/>
            </w:pPr>
            <w:r>
              <w:rPr>
                <w:rFonts w:ascii="Arial" w:hAnsi="Arial"/>
                <w:sz w:val="16"/>
              </w:rPr>
              <w:t>89.5%</w:t>
            </w:r>
          </w:p>
        </w:tc>
        <w:tc>
          <w:tcPr>
            <w:tcW w:type="dxa" w:w="1872"/>
            <w:vAlign w:val="top"/>
            <w:tcMar>
              <w:top w:w="80" w:type="dxa"/>
              <w:start w:w="80" w:type="dxa"/>
              <w:bottom w:w="80" w:type="dxa"/>
              <w:end w:w="80" w:type="dxa"/>
            </w:tcMar>
          </w:tcPr>
          <w:p>
            <w:pPr>
              <w:spacing w:after="0"/>
            </w:pPr>
            <w:r>
              <w:rPr>
                <w:rFonts w:ascii="Arial" w:hAnsi="Arial"/>
                <w:sz w:val="16"/>
              </w:rPr>
              <w:t>87.7-91.0%</w:t>
            </w:r>
          </w:p>
        </w:tc>
      </w:tr>
      <w:tr>
        <w:tc>
          <w:tcPr>
            <w:tcW w:type="dxa" w:w="1872"/>
            <w:vAlign w:val="top"/>
            <w:tcMar>
              <w:top w:w="80" w:type="dxa"/>
              <w:start w:w="80" w:type="dxa"/>
              <w:bottom w:w="80" w:type="dxa"/>
              <w:end w:w="80" w:type="dxa"/>
            </w:tcMar>
          </w:tcPr>
          <w:p>
            <w:pPr>
              <w:spacing w:after="0"/>
            </w:pPr>
            <w:r>
              <w:rPr>
                <w:rFonts w:ascii="Arial" w:hAnsi="Arial"/>
                <w:sz w:val="16"/>
              </w:rPr>
              <w:t>Vehicle identifier (motorized feeds)</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100.0%</w:t>
            </w:r>
          </w:p>
        </w:tc>
        <w:tc>
          <w:tcPr>
            <w:tcW w:type="dxa" w:w="1872"/>
            <w:vAlign w:val="top"/>
            <w:tcMar>
              <w:top w:w="80" w:type="dxa"/>
              <w:start w:w="80" w:type="dxa"/>
              <w:bottom w:w="80" w:type="dxa"/>
              <w:end w:w="80" w:type="dxa"/>
            </w:tcMar>
          </w:tcPr>
          <w:p>
            <w:pPr>
              <w:spacing w:after="0"/>
            </w:pPr>
            <w:r>
              <w:rPr>
                <w:rFonts w:ascii="Arial" w:hAnsi="Arial"/>
                <w:sz w:val="16"/>
              </w:rPr>
              <w:t>99.5-100.0%</w:t>
            </w:r>
          </w:p>
        </w:tc>
      </w:tr>
      <w:tr>
        <w:tc>
          <w:tcPr>
            <w:tcW w:type="dxa" w:w="1872"/>
            <w:vAlign w:val="top"/>
            <w:tcMar>
              <w:top w:w="80" w:type="dxa"/>
              <w:start w:w="80" w:type="dxa"/>
              <w:bottom w:w="80" w:type="dxa"/>
              <w:end w:w="80" w:type="dxa"/>
            </w:tcMar>
          </w:tcPr>
          <w:p>
            <w:pPr>
              <w:spacing w:after="0"/>
            </w:pPr>
            <w:r>
              <w:rPr>
                <w:rFonts w:ascii="Arial" w:hAnsi="Arial"/>
                <w:sz w:val="16"/>
              </w:rPr>
              <w:t>Latitude/longitude (motorized feeds)</w:t>
            </w:r>
          </w:p>
        </w:tc>
        <w:tc>
          <w:tcPr>
            <w:tcW w:type="dxa" w:w="1872"/>
            <w:vAlign w:val="top"/>
            <w:tcMar>
              <w:top w:w="80" w:type="dxa"/>
              <w:start w:w="80" w:type="dxa"/>
              <w:bottom w:w="80" w:type="dxa"/>
              <w:end w:w="80" w:type="dxa"/>
            </w:tcMar>
          </w:tcPr>
          <w:p>
            <w:pPr>
              <w:spacing w:after="0"/>
            </w:pPr>
            <w:r>
              <w:rPr>
                <w:rFonts w:ascii="Arial" w:hAnsi="Arial"/>
                <w:sz w:val="16"/>
              </w:rPr>
              <w:t>808</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99.4%</w:t>
            </w:r>
          </w:p>
        </w:tc>
        <w:tc>
          <w:tcPr>
            <w:tcW w:type="dxa" w:w="1872"/>
            <w:vAlign w:val="top"/>
            <w:tcMar>
              <w:top w:w="80" w:type="dxa"/>
              <w:start w:w="80" w:type="dxa"/>
              <w:bottom w:w="80" w:type="dxa"/>
              <w:end w:w="80" w:type="dxa"/>
            </w:tcMar>
          </w:tcPr>
          <w:p>
            <w:pPr>
              <w:spacing w:after="0"/>
            </w:pPr>
            <w:r>
              <w:rPr>
                <w:rFonts w:ascii="Arial" w:hAnsi="Arial"/>
                <w:sz w:val="16"/>
              </w:rPr>
              <w:t>98.6-99.7%</w:t>
            </w:r>
          </w:p>
        </w:tc>
      </w:tr>
      <w:tr>
        <w:tc>
          <w:tcPr>
            <w:tcW w:type="dxa" w:w="1872"/>
            <w:vAlign w:val="top"/>
            <w:tcMar>
              <w:top w:w="80" w:type="dxa"/>
              <w:start w:w="80" w:type="dxa"/>
              <w:bottom w:w="80" w:type="dxa"/>
              <w:end w:w="80" w:type="dxa"/>
            </w:tcMar>
          </w:tcPr>
          <w:p>
            <w:pPr>
              <w:spacing w:after="0"/>
            </w:pPr>
            <w:r>
              <w:rPr>
                <w:rFonts w:ascii="Arial" w:hAnsi="Arial"/>
                <w:sz w:val="16"/>
              </w:rPr>
              <w:t>Current range (motorized feeds)</w:t>
            </w:r>
          </w:p>
        </w:tc>
        <w:tc>
          <w:tcPr>
            <w:tcW w:type="dxa" w:w="1872"/>
            <w:vAlign w:val="top"/>
            <w:tcMar>
              <w:top w:w="80" w:type="dxa"/>
              <w:start w:w="80" w:type="dxa"/>
              <w:bottom w:w="80" w:type="dxa"/>
              <w:end w:w="80" w:type="dxa"/>
            </w:tcMar>
          </w:tcPr>
          <w:p>
            <w:pPr>
              <w:spacing w:after="0"/>
            </w:pPr>
            <w:r>
              <w:rPr>
                <w:rFonts w:ascii="Arial" w:hAnsi="Arial"/>
                <w:sz w:val="16"/>
              </w:rPr>
              <w:t>802</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98.7%</w:t>
            </w:r>
          </w:p>
        </w:tc>
        <w:tc>
          <w:tcPr>
            <w:tcW w:type="dxa" w:w="1872"/>
            <w:vAlign w:val="top"/>
            <w:tcMar>
              <w:top w:w="80" w:type="dxa"/>
              <w:start w:w="80" w:type="dxa"/>
              <w:bottom w:w="80" w:type="dxa"/>
              <w:end w:w="80" w:type="dxa"/>
            </w:tcMar>
          </w:tcPr>
          <w:p>
            <w:pPr>
              <w:spacing w:after="0"/>
            </w:pPr>
            <w:r>
              <w:rPr>
                <w:rFonts w:ascii="Arial" w:hAnsi="Arial"/>
                <w:sz w:val="16"/>
              </w:rPr>
              <w:t>97.6-99.2%</w:t>
            </w:r>
          </w:p>
        </w:tc>
      </w:tr>
      <w:tr>
        <w:tc>
          <w:tcPr>
            <w:tcW w:type="dxa" w:w="1872"/>
            <w:vAlign w:val="top"/>
            <w:tcMar>
              <w:top w:w="80" w:type="dxa"/>
              <w:start w:w="80" w:type="dxa"/>
              <w:bottom w:w="80" w:type="dxa"/>
              <w:end w:w="80" w:type="dxa"/>
            </w:tcMar>
          </w:tcPr>
          <w:p>
            <w:pPr>
              <w:spacing w:after="0"/>
            </w:pPr>
            <w:r>
              <w:rPr>
                <w:rFonts w:ascii="Arial" w:hAnsi="Arial"/>
                <w:sz w:val="16"/>
              </w:rPr>
              <w:t>Vehicle-specific rental link (motorized feeds)</w:t>
            </w:r>
          </w:p>
        </w:tc>
        <w:tc>
          <w:tcPr>
            <w:tcW w:type="dxa" w:w="1872"/>
            <w:vAlign w:val="top"/>
            <w:tcMar>
              <w:top w:w="80" w:type="dxa"/>
              <w:start w:w="80" w:type="dxa"/>
              <w:bottom w:w="80" w:type="dxa"/>
              <w:end w:w="80" w:type="dxa"/>
            </w:tcMar>
          </w:tcPr>
          <w:p>
            <w:pPr>
              <w:spacing w:after="0"/>
            </w:pPr>
            <w:r>
              <w:rPr>
                <w:rFonts w:ascii="Arial" w:hAnsi="Arial"/>
                <w:sz w:val="16"/>
              </w:rPr>
              <w:t>643</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79.1%</w:t>
            </w:r>
          </w:p>
        </w:tc>
        <w:tc>
          <w:tcPr>
            <w:tcW w:type="dxa" w:w="1872"/>
            <w:vAlign w:val="top"/>
            <w:tcMar>
              <w:top w:w="80" w:type="dxa"/>
              <w:start w:w="80" w:type="dxa"/>
              <w:bottom w:w="80" w:type="dxa"/>
              <w:end w:w="80" w:type="dxa"/>
            </w:tcMar>
          </w:tcPr>
          <w:p>
            <w:pPr>
              <w:spacing w:after="0"/>
            </w:pPr>
            <w:r>
              <w:rPr>
                <w:rFonts w:ascii="Arial" w:hAnsi="Arial"/>
                <w:sz w:val="16"/>
              </w:rPr>
              <w:t>76.2-81.8%</w:t>
            </w:r>
          </w:p>
        </w:tc>
      </w:tr>
      <w:tr>
        <w:tc>
          <w:tcPr>
            <w:tcW w:type="dxa" w:w="1872"/>
            <w:vAlign w:val="top"/>
            <w:tcMar>
              <w:top w:w="80" w:type="dxa"/>
              <w:start w:w="80" w:type="dxa"/>
              <w:bottom w:w="80" w:type="dxa"/>
              <w:end w:w="80" w:type="dxa"/>
            </w:tcMar>
          </w:tcPr>
          <w:p>
            <w:pPr>
              <w:spacing w:after="0"/>
            </w:pPr>
            <w:r>
              <w:rPr>
                <w:rFonts w:ascii="Arial" w:hAnsi="Arial"/>
                <w:sz w:val="16"/>
              </w:rPr>
              <w:t>Last-reported timestamp (motorized feeds)</w:t>
            </w:r>
          </w:p>
        </w:tc>
        <w:tc>
          <w:tcPr>
            <w:tcW w:type="dxa" w:w="1872"/>
            <w:vAlign w:val="top"/>
            <w:tcMar>
              <w:top w:w="80" w:type="dxa"/>
              <w:start w:w="80" w:type="dxa"/>
              <w:bottom w:w="80" w:type="dxa"/>
              <w:end w:w="80" w:type="dxa"/>
            </w:tcMar>
          </w:tcPr>
          <w:p>
            <w:pPr>
              <w:spacing w:after="0"/>
            </w:pPr>
            <w:r>
              <w:rPr>
                <w:rFonts w:ascii="Arial" w:hAnsi="Arial"/>
                <w:sz w:val="16"/>
              </w:rPr>
              <w:t>629</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77.4%</w:t>
            </w:r>
          </w:p>
        </w:tc>
        <w:tc>
          <w:tcPr>
            <w:tcW w:type="dxa" w:w="1872"/>
            <w:vAlign w:val="top"/>
            <w:tcMar>
              <w:top w:w="80" w:type="dxa"/>
              <w:start w:w="80" w:type="dxa"/>
              <w:bottom w:w="80" w:type="dxa"/>
              <w:end w:w="80" w:type="dxa"/>
            </w:tcMar>
          </w:tcPr>
          <w:p>
            <w:pPr>
              <w:spacing w:after="0"/>
            </w:pPr>
            <w:r>
              <w:rPr>
                <w:rFonts w:ascii="Arial" w:hAnsi="Arial"/>
                <w:sz w:val="16"/>
              </w:rPr>
              <w:t>74.4-80.1%</w:t>
            </w:r>
          </w:p>
        </w:tc>
      </w:tr>
      <w:tr>
        <w:tc>
          <w:tcPr>
            <w:tcW w:type="dxa" w:w="1872"/>
            <w:vAlign w:val="top"/>
            <w:tcMar>
              <w:top w:w="80" w:type="dxa"/>
              <w:start w:w="80" w:type="dxa"/>
              <w:bottom w:w="80" w:type="dxa"/>
              <w:end w:w="80" w:type="dxa"/>
            </w:tcMar>
          </w:tcPr>
          <w:p>
            <w:pPr>
              <w:spacing w:after="0"/>
            </w:pPr>
            <w:r>
              <w:rPr>
                <w:rFonts w:ascii="Arial" w:hAnsi="Arial"/>
                <w:sz w:val="16"/>
              </w:rPr>
              <w:t>Battery/fuel percentage (motorized feeds)</w:t>
            </w:r>
          </w:p>
        </w:tc>
        <w:tc>
          <w:tcPr>
            <w:tcW w:type="dxa" w:w="1872"/>
            <w:vAlign w:val="top"/>
            <w:tcMar>
              <w:top w:w="80" w:type="dxa"/>
              <w:start w:w="80" w:type="dxa"/>
              <w:bottom w:w="80" w:type="dxa"/>
              <w:end w:w="80" w:type="dxa"/>
            </w:tcMar>
          </w:tcPr>
          <w:p>
            <w:pPr>
              <w:spacing w:after="0"/>
            </w:pPr>
            <w:r>
              <w:rPr>
                <w:rFonts w:ascii="Arial" w:hAnsi="Arial"/>
                <w:sz w:val="16"/>
              </w:rPr>
              <w:t>560</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68.9%</w:t>
            </w:r>
          </w:p>
        </w:tc>
        <w:tc>
          <w:tcPr>
            <w:tcW w:type="dxa" w:w="1872"/>
            <w:vAlign w:val="top"/>
            <w:tcMar>
              <w:top w:w="80" w:type="dxa"/>
              <w:start w:w="80" w:type="dxa"/>
              <w:bottom w:w="80" w:type="dxa"/>
              <w:end w:w="80" w:type="dxa"/>
            </w:tcMar>
          </w:tcPr>
          <w:p>
            <w:pPr>
              <w:spacing w:after="0"/>
            </w:pPr>
            <w:r>
              <w:rPr>
                <w:rFonts w:ascii="Arial" w:hAnsi="Arial"/>
                <w:sz w:val="16"/>
              </w:rPr>
              <w:t>65.6-72.0%</w:t>
            </w:r>
          </w:p>
        </w:tc>
      </w:tr>
    </w:tbl>
    <w:p/>
    <w:p>
      <w:pPr>
        <w:pStyle w:val="Heading2"/>
      </w:pPr>
      <w:r>
        <w:t>3.3. Public-document disclosure audit (RQ3)</w:t>
      </w:r>
    </w:p>
    <w:p>
      <w:pPr>
        <w:ind w:firstLine="432"/>
        <w:jc w:val="both"/>
      </w:pPr>
      <w:r>
        <w:rPr>
          <w:rFonts w:ascii="Times New Roman" w:hAnsi="Times New Roman"/>
          <w:sz w:val="24"/>
        </w:rPr>
        <w:t>We coded 13 operator privacy notices across 14 domains; 2 further operators could not be retrieved as reproducible text and were recorded as unavailable (Fig. 4; Table 4). Operational and account-level processing was disclosed almost universally: location data were explicit for 11 of 13 operators, and retention, processors or contractors, and account/payment/device data were explicit for all 13. Data-subject rights and international transfers were explicit or partial for the large majority, consistent with a predominantly European operator sample governed by the General Data Protection Regulation [36].</w:t>
      </w:r>
    </w:p>
    <w:p>
      <w:pPr>
        <w:ind w:firstLine="432"/>
        <w:jc w:val="both"/>
      </w:pPr>
      <w:r>
        <w:rPr>
          <w:rFonts w:ascii="Times New Roman" w:hAnsi="Times New Roman"/>
          <w:sz w:val="24"/>
        </w:rPr>
        <w:t>Disclosure was markedly thinner for device-centred and lifecycle domains. Battery or diagnostic data collection was not found in 8 of 13 notices, even though such data are technically central to these vehicles [15,16]. No operator notice in the sample described a vulnerability-disclosure channel (13 of 13 not found), and none addressed device return, recycling, or disposal handling (13 of 13 not found). We stress that these are gaps in public documents, not proof that the corresponding practices are absent; they nonetheless mark the parts of the lifecycle that are least visible to the public and to procuring organizations.</w:t>
      </w:r>
    </w:p>
    <w:p>
      <w:pPr>
        <w:spacing w:before="120" w:after="280"/>
        <w:jc w:val="center"/>
      </w:pPr>
      <w:r>
        <w:rPr>
          <w:i/>
          <w:sz w:val="20"/>
        </w:rPr>
        <w:t>Figure 4. Disclosure-domain coding of public operator privacy notices across 14 domains (n = 13 coded operators; 2 further operators were unavailable for reproducible retrieval). Cells show explicit, partial, or not-found coding; not-found denotes silence in the document, not evidence that a practice is absent.</w:t>
      </w:r>
    </w:p>
    <w:p>
      <w:pPr>
        <w:spacing w:before="280" w:after="120"/>
      </w:pPr>
      <w:r>
        <w:rPr>
          <w:b/>
        </w:rPr>
        <w:t>Table 4. Disclosure-domain coding of public operator privacy notices (n = 13 coded operators). Counts of explicit, partial, and not-found codings per domain; not-found denotes document silence, not evidence that a practice is absent.</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2340"/>
        <w:gridCol w:w="2340"/>
        <w:gridCol w:w="2340"/>
        <w:gridCol w:w="2340"/>
      </w:tblGrid>
      <w:tr>
        <w:tc>
          <w:tcPr>
            <w:tcW w:type="dxa" w:w="2340"/>
            <w:vAlign w:val="center"/>
            <w:tcMar>
              <w:top w:w="80" w:type="dxa"/>
              <w:start w:w="80" w:type="dxa"/>
              <w:bottom w:w="80" w:type="dxa"/>
              <w:end w:w="80" w:type="dxa"/>
            </w:tcMar>
          </w:tcPr>
          <w:p>
            <w:r>
              <w:rPr>
                <w:rFonts w:ascii="Arial" w:hAnsi="Arial"/>
                <w:b/>
                <w:sz w:val="16"/>
              </w:rPr>
              <w:t>Disclosure domain</w:t>
            </w:r>
          </w:p>
        </w:tc>
        <w:tc>
          <w:tcPr>
            <w:tcW w:type="dxa" w:w="2340"/>
            <w:vAlign w:val="center"/>
            <w:tcMar>
              <w:top w:w="80" w:type="dxa"/>
              <w:start w:w="80" w:type="dxa"/>
              <w:bottom w:w="80" w:type="dxa"/>
              <w:end w:w="80" w:type="dxa"/>
            </w:tcMar>
          </w:tcPr>
          <w:p>
            <w:r>
              <w:rPr>
                <w:rFonts w:ascii="Arial" w:hAnsi="Arial"/>
                <w:b/>
                <w:sz w:val="16"/>
              </w:rPr>
              <w:t>Explicit</w:t>
            </w:r>
          </w:p>
        </w:tc>
        <w:tc>
          <w:tcPr>
            <w:tcW w:type="dxa" w:w="2340"/>
            <w:vAlign w:val="center"/>
            <w:tcMar>
              <w:top w:w="80" w:type="dxa"/>
              <w:start w:w="80" w:type="dxa"/>
              <w:bottom w:w="80" w:type="dxa"/>
              <w:end w:w="80" w:type="dxa"/>
            </w:tcMar>
          </w:tcPr>
          <w:p>
            <w:r>
              <w:rPr>
                <w:rFonts w:ascii="Arial" w:hAnsi="Arial"/>
                <w:b/>
                <w:sz w:val="16"/>
              </w:rPr>
              <w:t>Partial</w:t>
            </w:r>
          </w:p>
        </w:tc>
        <w:tc>
          <w:tcPr>
            <w:tcW w:type="dxa" w:w="2340"/>
            <w:vAlign w:val="center"/>
            <w:tcMar>
              <w:top w:w="80" w:type="dxa"/>
              <w:start w:w="80" w:type="dxa"/>
              <w:bottom w:w="80" w:type="dxa"/>
              <w:end w:w="80" w:type="dxa"/>
            </w:tcMar>
          </w:tcPr>
          <w:p>
            <w:r>
              <w:rPr>
                <w:rFonts w:ascii="Arial" w:hAnsi="Arial"/>
                <w:b/>
                <w:sz w:val="16"/>
              </w:rPr>
              <w:t>Not found</w:t>
            </w:r>
          </w:p>
        </w:tc>
      </w:tr>
      <w:tr>
        <w:tc>
          <w:tcPr>
            <w:tcW w:type="dxa" w:w="2340"/>
            <w:vAlign w:val="top"/>
            <w:tcMar>
              <w:top w:w="80" w:type="dxa"/>
              <w:start w:w="80" w:type="dxa"/>
              <w:bottom w:w="80" w:type="dxa"/>
              <w:end w:w="80" w:type="dxa"/>
            </w:tcMar>
          </w:tcPr>
          <w:p>
            <w:pPr>
              <w:spacing w:after="0"/>
            </w:pPr>
            <w:r>
              <w:rPr>
                <w:rFonts w:ascii="Arial" w:hAnsi="Arial"/>
                <w:sz w:val="16"/>
              </w:rPr>
              <w:t>Location</w:t>
            </w:r>
          </w:p>
        </w:tc>
        <w:tc>
          <w:tcPr>
            <w:tcW w:type="dxa" w:w="2340"/>
            <w:vAlign w:val="top"/>
            <w:tcMar>
              <w:top w:w="80" w:type="dxa"/>
              <w:start w:w="80" w:type="dxa"/>
              <w:bottom w:w="80" w:type="dxa"/>
              <w:end w:w="80" w:type="dxa"/>
            </w:tcMar>
          </w:tcPr>
          <w:p>
            <w:pPr>
              <w:spacing w:after="0"/>
            </w:pPr>
            <w:r>
              <w:rPr>
                <w:rFonts w:ascii="Arial" w:hAnsi="Arial"/>
                <w:sz w:val="16"/>
              </w:rPr>
              <w:t>11</w:t>
            </w:r>
          </w:p>
        </w:tc>
        <w:tc>
          <w:tcPr>
            <w:tcW w:type="dxa" w:w="2340"/>
            <w:vAlign w:val="top"/>
            <w:tcMar>
              <w:top w:w="80" w:type="dxa"/>
              <w:start w:w="80" w:type="dxa"/>
              <w:bottom w:w="80" w:type="dxa"/>
              <w:end w:w="80" w:type="dxa"/>
            </w:tcMar>
          </w:tcPr>
          <w:p>
            <w:pPr>
              <w:spacing w:after="0"/>
            </w:pPr>
            <w:r>
              <w:rPr>
                <w:rFonts w:ascii="Arial" w:hAnsi="Arial"/>
                <w:sz w:val="16"/>
              </w:rPr>
              <w:t>2</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Trip/time</w:t>
            </w:r>
          </w:p>
        </w:tc>
        <w:tc>
          <w:tcPr>
            <w:tcW w:type="dxa" w:w="2340"/>
            <w:vAlign w:val="top"/>
            <w:tcMar>
              <w:top w:w="80" w:type="dxa"/>
              <w:start w:w="80" w:type="dxa"/>
              <w:bottom w:w="80" w:type="dxa"/>
              <w:end w:w="80" w:type="dxa"/>
            </w:tcMar>
          </w:tcPr>
          <w:p>
            <w:pPr>
              <w:spacing w:after="0"/>
            </w:pPr>
            <w:r>
              <w:rPr>
                <w:rFonts w:ascii="Arial" w:hAnsi="Arial"/>
                <w:sz w:val="16"/>
              </w:rPr>
              <w:t>13</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Vehicle ID</w:t>
            </w:r>
          </w:p>
        </w:tc>
        <w:tc>
          <w:tcPr>
            <w:tcW w:type="dxa" w:w="2340"/>
            <w:vAlign w:val="top"/>
            <w:tcMar>
              <w:top w:w="80" w:type="dxa"/>
              <w:start w:w="80" w:type="dxa"/>
              <w:bottom w:w="80" w:type="dxa"/>
              <w:end w:w="80" w:type="dxa"/>
            </w:tcMar>
          </w:tcPr>
          <w:p>
            <w:pPr>
              <w:spacing w:after="0"/>
            </w:pPr>
            <w:r>
              <w:rPr>
                <w:rFonts w:ascii="Arial" w:hAnsi="Arial"/>
                <w:sz w:val="16"/>
              </w:rPr>
              <w:t>5</w:t>
            </w:r>
          </w:p>
        </w:tc>
        <w:tc>
          <w:tcPr>
            <w:tcW w:type="dxa" w:w="2340"/>
            <w:vAlign w:val="top"/>
            <w:tcMar>
              <w:top w:w="80" w:type="dxa"/>
              <w:start w:w="80" w:type="dxa"/>
              <w:bottom w:w="80" w:type="dxa"/>
              <w:end w:w="80" w:type="dxa"/>
            </w:tcMar>
          </w:tcPr>
          <w:p>
            <w:pPr>
              <w:spacing w:after="0"/>
            </w:pPr>
            <w:r>
              <w:rPr>
                <w:rFonts w:ascii="Arial" w:hAnsi="Arial"/>
                <w:sz w:val="16"/>
              </w:rPr>
              <w:t>5</w:t>
            </w:r>
          </w:p>
        </w:tc>
        <w:tc>
          <w:tcPr>
            <w:tcW w:type="dxa" w:w="2340"/>
            <w:vAlign w:val="top"/>
            <w:tcMar>
              <w:top w:w="80" w:type="dxa"/>
              <w:start w:w="80" w:type="dxa"/>
              <w:bottom w:w="80" w:type="dxa"/>
              <w:end w:w="80" w:type="dxa"/>
            </w:tcMar>
          </w:tcPr>
          <w:p>
            <w:pPr>
              <w:spacing w:after="0"/>
            </w:pPr>
            <w:r>
              <w:rPr>
                <w:rFonts w:ascii="Arial" w:hAnsi="Arial"/>
                <w:sz w:val="16"/>
              </w:rPr>
              <w:t>3</w:t>
            </w:r>
          </w:p>
        </w:tc>
      </w:tr>
      <w:tr>
        <w:tc>
          <w:tcPr>
            <w:tcW w:type="dxa" w:w="2340"/>
            <w:vAlign w:val="top"/>
            <w:tcMar>
              <w:top w:w="80" w:type="dxa"/>
              <w:start w:w="80" w:type="dxa"/>
              <w:bottom w:w="80" w:type="dxa"/>
              <w:end w:w="80" w:type="dxa"/>
            </w:tcMar>
          </w:tcPr>
          <w:p>
            <w:pPr>
              <w:spacing w:after="0"/>
            </w:pPr>
            <w:r>
              <w:rPr>
                <w:rFonts w:ascii="Arial" w:hAnsi="Arial"/>
                <w:sz w:val="16"/>
              </w:rPr>
              <w:t>Battery/diagnostic</w:t>
            </w:r>
          </w:p>
        </w:tc>
        <w:tc>
          <w:tcPr>
            <w:tcW w:type="dxa" w:w="2340"/>
            <w:vAlign w:val="top"/>
            <w:tcMar>
              <w:top w:w="80" w:type="dxa"/>
              <w:start w:w="80" w:type="dxa"/>
              <w:bottom w:w="80" w:type="dxa"/>
              <w:end w:w="80" w:type="dxa"/>
            </w:tcMar>
          </w:tcPr>
          <w:p>
            <w:pPr>
              <w:spacing w:after="0"/>
            </w:pPr>
            <w:r>
              <w:rPr>
                <w:rFonts w:ascii="Arial" w:hAnsi="Arial"/>
                <w:sz w:val="16"/>
              </w:rPr>
              <w:t>5</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8</w:t>
            </w:r>
          </w:p>
        </w:tc>
      </w:tr>
      <w:tr>
        <w:tc>
          <w:tcPr>
            <w:tcW w:type="dxa" w:w="2340"/>
            <w:vAlign w:val="top"/>
            <w:tcMar>
              <w:top w:w="80" w:type="dxa"/>
              <w:start w:w="80" w:type="dxa"/>
              <w:bottom w:w="80" w:type="dxa"/>
              <w:end w:w="80" w:type="dxa"/>
            </w:tcMar>
          </w:tcPr>
          <w:p>
            <w:pPr>
              <w:spacing w:after="0"/>
            </w:pPr>
            <w:r>
              <w:rPr>
                <w:rFonts w:ascii="Arial" w:hAnsi="Arial"/>
                <w:sz w:val="16"/>
              </w:rPr>
              <w:t>Maintenance/repair</w:t>
            </w:r>
          </w:p>
        </w:tc>
        <w:tc>
          <w:tcPr>
            <w:tcW w:type="dxa" w:w="2340"/>
            <w:vAlign w:val="top"/>
            <w:tcMar>
              <w:top w:w="80" w:type="dxa"/>
              <w:start w:w="80" w:type="dxa"/>
              <w:bottom w:w="80" w:type="dxa"/>
              <w:end w:w="80" w:type="dxa"/>
            </w:tcMar>
          </w:tcPr>
          <w:p>
            <w:pPr>
              <w:spacing w:after="0"/>
            </w:pPr>
            <w:r>
              <w:rPr>
                <w:rFonts w:ascii="Arial" w:hAnsi="Arial"/>
                <w:sz w:val="16"/>
              </w:rPr>
              <w:t>12</w:t>
            </w:r>
          </w:p>
        </w:tc>
        <w:tc>
          <w:tcPr>
            <w:tcW w:type="dxa" w:w="2340"/>
            <w:vAlign w:val="top"/>
            <w:tcMar>
              <w:top w:w="80" w:type="dxa"/>
              <w:start w:w="80" w:type="dxa"/>
              <w:bottom w:w="80" w:type="dxa"/>
              <w:end w:w="80" w:type="dxa"/>
            </w:tcMar>
          </w:tcPr>
          <w:p>
            <w:pPr>
              <w:spacing w:after="0"/>
            </w:pPr>
            <w:r>
              <w:rPr>
                <w:rFonts w:ascii="Arial" w:hAnsi="Arial"/>
                <w:sz w:val="16"/>
              </w:rPr>
              <w:t>1</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Account/payment/device</w:t>
            </w:r>
          </w:p>
        </w:tc>
        <w:tc>
          <w:tcPr>
            <w:tcW w:type="dxa" w:w="2340"/>
            <w:vAlign w:val="top"/>
            <w:tcMar>
              <w:top w:w="80" w:type="dxa"/>
              <w:start w:w="80" w:type="dxa"/>
              <w:bottom w:w="80" w:type="dxa"/>
              <w:end w:w="80" w:type="dxa"/>
            </w:tcMar>
          </w:tcPr>
          <w:p>
            <w:pPr>
              <w:spacing w:after="0"/>
            </w:pPr>
            <w:r>
              <w:rPr>
                <w:rFonts w:ascii="Arial" w:hAnsi="Arial"/>
                <w:sz w:val="16"/>
              </w:rPr>
              <w:t>13</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Analytics/profiling</w:t>
            </w:r>
          </w:p>
        </w:tc>
        <w:tc>
          <w:tcPr>
            <w:tcW w:type="dxa" w:w="2340"/>
            <w:vAlign w:val="top"/>
            <w:tcMar>
              <w:top w:w="80" w:type="dxa"/>
              <w:start w:w="80" w:type="dxa"/>
              <w:bottom w:w="80" w:type="dxa"/>
              <w:end w:w="80" w:type="dxa"/>
            </w:tcMar>
          </w:tcPr>
          <w:p>
            <w:pPr>
              <w:spacing w:after="0"/>
            </w:pPr>
            <w:r>
              <w:rPr>
                <w:rFonts w:ascii="Arial" w:hAnsi="Arial"/>
                <w:sz w:val="16"/>
              </w:rPr>
              <w:t>12</w:t>
            </w:r>
          </w:p>
        </w:tc>
        <w:tc>
          <w:tcPr>
            <w:tcW w:type="dxa" w:w="2340"/>
            <w:vAlign w:val="top"/>
            <w:tcMar>
              <w:top w:w="80" w:type="dxa"/>
              <w:start w:w="80" w:type="dxa"/>
              <w:bottom w:w="80" w:type="dxa"/>
              <w:end w:w="80" w:type="dxa"/>
            </w:tcMar>
          </w:tcPr>
          <w:p>
            <w:pPr>
              <w:spacing w:after="0"/>
            </w:pPr>
            <w:r>
              <w:rPr>
                <w:rFonts w:ascii="Arial" w:hAnsi="Arial"/>
                <w:sz w:val="16"/>
              </w:rPr>
              <w:t>1</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Retention</w:t>
            </w:r>
          </w:p>
        </w:tc>
        <w:tc>
          <w:tcPr>
            <w:tcW w:type="dxa" w:w="2340"/>
            <w:vAlign w:val="top"/>
            <w:tcMar>
              <w:top w:w="80" w:type="dxa"/>
              <w:start w:w="80" w:type="dxa"/>
              <w:bottom w:w="80" w:type="dxa"/>
              <w:end w:w="80" w:type="dxa"/>
            </w:tcMar>
          </w:tcPr>
          <w:p>
            <w:pPr>
              <w:spacing w:after="0"/>
            </w:pPr>
            <w:r>
              <w:rPr>
                <w:rFonts w:ascii="Arial" w:hAnsi="Arial"/>
                <w:sz w:val="16"/>
              </w:rPr>
              <w:t>13</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Processors/contractors</w:t>
            </w:r>
          </w:p>
        </w:tc>
        <w:tc>
          <w:tcPr>
            <w:tcW w:type="dxa" w:w="2340"/>
            <w:vAlign w:val="top"/>
            <w:tcMar>
              <w:top w:w="80" w:type="dxa"/>
              <w:start w:w="80" w:type="dxa"/>
              <w:bottom w:w="80" w:type="dxa"/>
              <w:end w:w="80" w:type="dxa"/>
            </w:tcMar>
          </w:tcPr>
          <w:p>
            <w:pPr>
              <w:spacing w:after="0"/>
            </w:pPr>
            <w:r>
              <w:rPr>
                <w:rFonts w:ascii="Arial" w:hAnsi="Arial"/>
                <w:sz w:val="16"/>
              </w:rPr>
              <w:t>13</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Intl transfer</w:t>
            </w:r>
          </w:p>
        </w:tc>
        <w:tc>
          <w:tcPr>
            <w:tcW w:type="dxa" w:w="2340"/>
            <w:vAlign w:val="top"/>
            <w:tcMar>
              <w:top w:w="80" w:type="dxa"/>
              <w:start w:w="80" w:type="dxa"/>
              <w:bottom w:w="80" w:type="dxa"/>
              <w:end w:w="80" w:type="dxa"/>
            </w:tcMar>
          </w:tcPr>
          <w:p>
            <w:pPr>
              <w:spacing w:after="0"/>
            </w:pPr>
            <w:r>
              <w:rPr>
                <w:rFonts w:ascii="Arial" w:hAnsi="Arial"/>
                <w:sz w:val="16"/>
              </w:rPr>
              <w:t>10</w:t>
            </w:r>
          </w:p>
        </w:tc>
        <w:tc>
          <w:tcPr>
            <w:tcW w:type="dxa" w:w="2340"/>
            <w:vAlign w:val="top"/>
            <w:tcMar>
              <w:top w:w="80" w:type="dxa"/>
              <w:start w:w="80" w:type="dxa"/>
              <w:bottom w:w="80" w:type="dxa"/>
              <w:end w:w="80" w:type="dxa"/>
            </w:tcMar>
          </w:tcPr>
          <w:p>
            <w:pPr>
              <w:spacing w:after="0"/>
            </w:pPr>
            <w:r>
              <w:rPr>
                <w:rFonts w:ascii="Arial" w:hAnsi="Arial"/>
                <w:sz w:val="16"/>
              </w:rPr>
              <w:t>3</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Data-subject rights</w:t>
            </w:r>
          </w:p>
        </w:tc>
        <w:tc>
          <w:tcPr>
            <w:tcW w:type="dxa" w:w="2340"/>
            <w:vAlign w:val="top"/>
            <w:tcMar>
              <w:top w:w="80" w:type="dxa"/>
              <w:start w:w="80" w:type="dxa"/>
              <w:bottom w:w="80" w:type="dxa"/>
              <w:end w:w="80" w:type="dxa"/>
            </w:tcMar>
          </w:tcPr>
          <w:p>
            <w:pPr>
              <w:spacing w:after="0"/>
            </w:pPr>
            <w:r>
              <w:rPr>
                <w:rFonts w:ascii="Arial" w:hAnsi="Arial"/>
                <w:sz w:val="16"/>
              </w:rPr>
              <w:t>9</w:t>
            </w:r>
          </w:p>
        </w:tc>
        <w:tc>
          <w:tcPr>
            <w:tcW w:type="dxa" w:w="2340"/>
            <w:vAlign w:val="top"/>
            <w:tcMar>
              <w:top w:w="80" w:type="dxa"/>
              <w:start w:w="80" w:type="dxa"/>
              <w:bottom w:w="80" w:type="dxa"/>
              <w:end w:w="80" w:type="dxa"/>
            </w:tcMar>
          </w:tcPr>
          <w:p>
            <w:pPr>
              <w:spacing w:after="0"/>
            </w:pPr>
            <w:r>
              <w:rPr>
                <w:rFonts w:ascii="Arial" w:hAnsi="Arial"/>
                <w:sz w:val="16"/>
              </w:rPr>
              <w:t>3</w:t>
            </w:r>
          </w:p>
        </w:tc>
        <w:tc>
          <w:tcPr>
            <w:tcW w:type="dxa" w:w="2340"/>
            <w:vAlign w:val="top"/>
            <w:tcMar>
              <w:top w:w="80" w:type="dxa"/>
              <w:start w:w="80" w:type="dxa"/>
              <w:bottom w:w="80" w:type="dxa"/>
              <w:end w:w="80" w:type="dxa"/>
            </w:tcMar>
          </w:tcPr>
          <w:p>
            <w:pPr>
              <w:spacing w:after="0"/>
            </w:pPr>
            <w:r>
              <w:rPr>
                <w:rFonts w:ascii="Arial" w:hAnsi="Arial"/>
                <w:sz w:val="16"/>
              </w:rPr>
              <w:t>1</w:t>
            </w:r>
          </w:p>
        </w:tc>
      </w:tr>
      <w:tr>
        <w:tc>
          <w:tcPr>
            <w:tcW w:type="dxa" w:w="2340"/>
            <w:vAlign w:val="top"/>
            <w:tcMar>
              <w:top w:w="80" w:type="dxa"/>
              <w:start w:w="80" w:type="dxa"/>
              <w:bottom w:w="80" w:type="dxa"/>
              <w:end w:w="80" w:type="dxa"/>
            </w:tcMar>
          </w:tcPr>
          <w:p>
            <w:pPr>
              <w:spacing w:after="0"/>
            </w:pPr>
            <w:r>
              <w:rPr>
                <w:rFonts w:ascii="Arial" w:hAnsi="Arial"/>
                <w:sz w:val="16"/>
              </w:rPr>
              <w:t>Incident contact</w:t>
            </w:r>
          </w:p>
        </w:tc>
        <w:tc>
          <w:tcPr>
            <w:tcW w:type="dxa" w:w="2340"/>
            <w:vAlign w:val="top"/>
            <w:tcMar>
              <w:top w:w="80" w:type="dxa"/>
              <w:start w:w="80" w:type="dxa"/>
              <w:bottom w:w="80" w:type="dxa"/>
              <w:end w:w="80" w:type="dxa"/>
            </w:tcMar>
          </w:tcPr>
          <w:p>
            <w:pPr>
              <w:spacing w:after="0"/>
            </w:pPr>
            <w:r>
              <w:rPr>
                <w:rFonts w:ascii="Arial" w:hAnsi="Arial"/>
                <w:sz w:val="16"/>
              </w:rPr>
              <w:t>11</w:t>
            </w:r>
          </w:p>
        </w:tc>
        <w:tc>
          <w:tcPr>
            <w:tcW w:type="dxa" w:w="2340"/>
            <w:vAlign w:val="top"/>
            <w:tcMar>
              <w:top w:w="80" w:type="dxa"/>
              <w:start w:w="80" w:type="dxa"/>
              <w:bottom w:w="80" w:type="dxa"/>
              <w:end w:w="80" w:type="dxa"/>
            </w:tcMar>
          </w:tcPr>
          <w:p>
            <w:pPr>
              <w:spacing w:after="0"/>
            </w:pPr>
            <w:r>
              <w:rPr>
                <w:rFonts w:ascii="Arial" w:hAnsi="Arial"/>
                <w:sz w:val="16"/>
              </w:rPr>
              <w:t>2</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Vulnerability disclosure</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13</w:t>
            </w:r>
          </w:p>
        </w:tc>
      </w:tr>
      <w:tr>
        <w:tc>
          <w:tcPr>
            <w:tcW w:type="dxa" w:w="2340"/>
            <w:vAlign w:val="top"/>
            <w:tcMar>
              <w:top w:w="80" w:type="dxa"/>
              <w:start w:w="80" w:type="dxa"/>
              <w:bottom w:w="80" w:type="dxa"/>
              <w:end w:w="80" w:type="dxa"/>
            </w:tcMar>
          </w:tcPr>
          <w:p>
            <w:pPr>
              <w:spacing w:after="0"/>
            </w:pPr>
            <w:r>
              <w:rPr>
                <w:rFonts w:ascii="Arial" w:hAnsi="Arial"/>
                <w:sz w:val="16"/>
              </w:rPr>
              <w:t>Return/recycling/disposal</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13</w:t>
            </w:r>
          </w:p>
        </w:tc>
      </w:tr>
    </w:tbl>
    <w:p/>
    <w:p>
      <w:pPr>
        <w:pStyle w:val="Heading1"/>
      </w:pPr>
      <w:r>
        <w:t>4. Discussion</w:t>
      </w:r>
    </w:p>
    <w:p>
      <w:pPr>
        <w:ind w:firstLine="432"/>
        <w:jc w:val="both"/>
      </w:pPr>
      <w:r>
        <w:rPr>
          <w:rFonts w:ascii="Times New Roman" w:hAnsi="Times New Roman"/>
          <w:sz w:val="24"/>
        </w:rPr>
        <w:t>Read together, the three components describe a consistent pattern. Direct evidence for data exposure is concentrated in the operation stage, where audits and attack studies demonstrate collection, tracking, and re-identification potential [2,9,10]. The public feed audit shows that the raw materials for such analyses - persistent identifiers and precise positions - are disclosed at high prevalence worldwide, while more operationally sensitive fields are published less uniformly. The disclosure audit shows that operators describe operational data handling in detail but are silent on device end-of-life and on security-reporting channels, the same stages for which the review found only near-domain (D2) evidence [13,14].</w:t>
      </w:r>
    </w:p>
    <w:p>
      <w:pPr>
        <w:ind w:firstLine="432"/>
        <w:jc w:val="both"/>
      </w:pPr>
      <w:r>
        <w:rPr>
          <w:rFonts w:ascii="Times New Roman" w:hAnsi="Times New Roman"/>
          <w:sz w:val="24"/>
        </w:rPr>
        <w:t>We integrate these observations in a six-stage lifecycle model that links each stage to the evidence distance of its supporting sources and to a proposed control (Fig. 5; Table 5). The model makes the strength of the underlying evidence explicit: procurement, deployment, operation, and maintenance are anchored by direct (D3-D4) evidence, whereas recall/return and second-life/disposal rest on near-domain (D2) analogy and on governance and standards guidance [24-26]. The controls - field minimization, local processing, access and retention limits, controlled contractor access, chain-of-custody for returned units, and verified media sanitization - are proposals whose effectiveness this study did not test; Table 5 records their effectiveness evidence conservatively.</w:t>
      </w:r>
    </w:p>
    <w:p>
      <w:pPr>
        <w:ind w:firstLine="432"/>
        <w:jc w:val="both"/>
      </w:pPr>
      <w:r>
        <w:rPr>
          <w:rFonts w:ascii="Times New Roman" w:hAnsi="Times New Roman"/>
          <w:sz w:val="24"/>
        </w:rPr>
        <w:t>For procuring organizations, the practical implication is that a narrow focus on real-time position understates exposure. A telemetry inventory that spans identifiers, timestamps, range, and battery state, and that follows devices through maintenance and disposal, is a more faithful basis for assessment than the intuition that coordinates alone are the only sensitive field.</w:t>
      </w:r>
    </w:p>
    <w:p>
      <w:pPr>
        <w:ind w:firstLine="432"/>
        <w:jc w:val="both"/>
      </w:pPr>
      <w:r>
        <w:rPr>
          <w:rFonts w:ascii="Times New Roman" w:hAnsi="Times New Roman"/>
          <w:sz w:val="24"/>
        </w:rPr>
        <w:t>From a transport-economics perspective, the results also locate where the information asymmetry between principal and operator is largest. Operation-stage practices are both well evidenced and well disclosed, so a procuring body can verify them from public sources without operator cooperation. End-of-life practices are neither: the review found only near-domain evidence and the document audit found near-complete silence, so any contractual obligation on returned or retired vehicles cannot currently be monitored from public information and would have to be enforced through reporting, audit rights, or certification clauses. Such clauses shift verification effort onto operators and regulators, in line with the general observation that contracted-out public services under-deliver on quality dimensions that are hard to specify and verify [7]; the lifecycle model helps managers direct that effort to the stages where public verification is weakest rather than duplicating disclosure that already exists. We did not measure the costs or welfare effects of such clauses, and the principal-agent framing is an interpretive lens rather than a tested model.</w:t>
      </w:r>
    </w:p>
    <w:p>
      <w:pPr>
        <w:spacing w:before="120" w:after="280"/>
        <w:jc w:val="center"/>
      </w:pPr>
      <w:r>
        <w:rPr>
          <w:i/>
          <w:sz w:val="20"/>
        </w:rPr>
        <w:t>Figure 5. Lifecycle data-exposure model linking each stage to the evidence distance of its supporting sources and to a proposed, as-yet unvalidated control. Solid boxes denote stages with direct (D3-D4) evidence; dashed boxes denote stages supported only by near-domain (D2) evidence.</w:t>
      </w:r>
    </w:p>
    <w:p>
      <w:pPr>
        <w:spacing w:before="280" w:after="120"/>
      </w:pPr>
      <w:r>
        <w:rPr>
          <w:b/>
        </w:rPr>
        <w:t>Table 5. Evidence-to-control traceability across the lifecycle model. Effectiveness evidence is stated conservatively; the proposed controls have not been empirically validated in this study.</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1872"/>
        <w:gridCol w:w="1872"/>
        <w:gridCol w:w="1872"/>
        <w:gridCol w:w="1872"/>
        <w:gridCol w:w="1872"/>
      </w:tblGrid>
      <w:tr>
        <w:tc>
          <w:tcPr>
            <w:tcW w:type="dxa" w:w="1872"/>
            <w:vAlign w:val="center"/>
            <w:tcMar>
              <w:top w:w="80" w:type="dxa"/>
              <w:start w:w="80" w:type="dxa"/>
              <w:bottom w:w="80" w:type="dxa"/>
              <w:end w:w="80" w:type="dxa"/>
            </w:tcMar>
          </w:tcPr>
          <w:p>
            <w:r>
              <w:rPr>
                <w:rFonts w:ascii="Arial" w:hAnsi="Arial"/>
                <w:b/>
                <w:sz w:val="16"/>
              </w:rPr>
              <w:t>Lifecycle stage</w:t>
            </w:r>
          </w:p>
        </w:tc>
        <w:tc>
          <w:tcPr>
            <w:tcW w:type="dxa" w:w="1872"/>
            <w:vAlign w:val="center"/>
            <w:tcMar>
              <w:top w:w="80" w:type="dxa"/>
              <w:start w:w="80" w:type="dxa"/>
              <w:bottom w:w="80" w:type="dxa"/>
              <w:end w:w="80" w:type="dxa"/>
            </w:tcMar>
          </w:tcPr>
          <w:p>
            <w:r>
              <w:rPr>
                <w:rFonts w:ascii="Arial" w:hAnsi="Arial"/>
                <w:b/>
                <w:sz w:val="16"/>
              </w:rPr>
              <w:t>Exposure path</w:t>
            </w:r>
          </w:p>
        </w:tc>
        <w:tc>
          <w:tcPr>
            <w:tcW w:type="dxa" w:w="1872"/>
            <w:vAlign w:val="center"/>
            <w:tcMar>
              <w:top w:w="80" w:type="dxa"/>
              <w:start w:w="80" w:type="dxa"/>
              <w:bottom w:w="80" w:type="dxa"/>
              <w:end w:w="80" w:type="dxa"/>
            </w:tcMar>
          </w:tcPr>
          <w:p>
            <w:r>
              <w:rPr>
                <w:rFonts w:ascii="Arial" w:hAnsi="Arial"/>
                <w:b/>
                <w:sz w:val="16"/>
              </w:rPr>
              <w:t>Supporting evidence (distance)</w:t>
            </w:r>
          </w:p>
        </w:tc>
        <w:tc>
          <w:tcPr>
            <w:tcW w:type="dxa" w:w="1872"/>
            <w:vAlign w:val="center"/>
            <w:tcMar>
              <w:top w:w="80" w:type="dxa"/>
              <w:start w:w="80" w:type="dxa"/>
              <w:bottom w:w="80" w:type="dxa"/>
              <w:end w:w="80" w:type="dxa"/>
            </w:tcMar>
          </w:tcPr>
          <w:p>
            <w:r>
              <w:rPr>
                <w:rFonts w:ascii="Arial" w:hAnsi="Arial"/>
                <w:b/>
                <w:sz w:val="16"/>
              </w:rPr>
              <w:t>Proposed control</w:t>
            </w:r>
          </w:p>
        </w:tc>
        <w:tc>
          <w:tcPr>
            <w:tcW w:type="dxa" w:w="1872"/>
            <w:vAlign w:val="center"/>
            <w:tcMar>
              <w:top w:w="80" w:type="dxa"/>
              <w:start w:w="80" w:type="dxa"/>
              <w:bottom w:w="80" w:type="dxa"/>
              <w:end w:w="80" w:type="dxa"/>
            </w:tcMar>
          </w:tcPr>
          <w:p>
            <w:r>
              <w:rPr>
                <w:rFonts w:ascii="Arial" w:hAnsi="Arial"/>
                <w:b/>
                <w:sz w:val="16"/>
              </w:rPr>
              <w:t>Effectiveness evidence</w:t>
            </w:r>
          </w:p>
        </w:tc>
      </w:tr>
      <w:tr>
        <w:tc>
          <w:tcPr>
            <w:tcW w:type="dxa" w:w="1872"/>
            <w:vAlign w:val="top"/>
            <w:tcMar>
              <w:top w:w="80" w:type="dxa"/>
              <w:start w:w="80" w:type="dxa"/>
              <w:bottom w:w="80" w:type="dxa"/>
              <w:end w:w="80" w:type="dxa"/>
            </w:tcMar>
          </w:tcPr>
          <w:p>
            <w:pPr>
              <w:spacing w:after="0"/>
            </w:pPr>
            <w:r>
              <w:rPr>
                <w:rFonts w:ascii="Arial" w:hAnsi="Arial"/>
                <w:sz w:val="16"/>
              </w:rPr>
              <w:t>Procurement</w:t>
            </w:r>
          </w:p>
        </w:tc>
        <w:tc>
          <w:tcPr>
            <w:tcW w:type="dxa" w:w="1872"/>
            <w:vAlign w:val="top"/>
            <w:tcMar>
              <w:top w:w="80" w:type="dxa"/>
              <w:start w:w="80" w:type="dxa"/>
              <w:bottom w:w="80" w:type="dxa"/>
              <w:end w:w="80" w:type="dxa"/>
            </w:tcMar>
          </w:tcPr>
          <w:p>
            <w:pPr>
              <w:spacing w:after="0"/>
            </w:pPr>
            <w:r>
              <w:rPr>
                <w:rFonts w:ascii="Arial" w:hAnsi="Arial"/>
                <w:sz w:val="16"/>
              </w:rPr>
              <w:t>Contract and provenance terms set who can access backend data</w:t>
            </w:r>
          </w:p>
        </w:tc>
        <w:tc>
          <w:tcPr>
            <w:tcW w:type="dxa" w:w="1872"/>
            <w:vAlign w:val="top"/>
            <w:tcMar>
              <w:top w:w="80" w:type="dxa"/>
              <w:start w:w="80" w:type="dxa"/>
              <w:bottom w:w="80" w:type="dxa"/>
              <w:end w:w="80" w:type="dxa"/>
            </w:tcMar>
          </w:tcPr>
          <w:p>
            <w:pPr>
              <w:spacing w:after="0"/>
            </w:pPr>
            <w:r>
              <w:rPr>
                <w:rFonts w:ascii="Arial" w:hAnsi="Arial"/>
                <w:sz w:val="16"/>
              </w:rPr>
              <w:t>Governance guidance (N) [22,25]</w:t>
            </w:r>
          </w:p>
        </w:tc>
        <w:tc>
          <w:tcPr>
            <w:tcW w:type="dxa" w:w="1872"/>
            <w:vAlign w:val="top"/>
            <w:tcMar>
              <w:top w:w="80" w:type="dxa"/>
              <w:start w:w="80" w:type="dxa"/>
              <w:bottom w:w="80" w:type="dxa"/>
              <w:end w:w="80" w:type="dxa"/>
            </w:tcMar>
          </w:tcPr>
          <w:p>
            <w:pPr>
              <w:spacing w:after="0"/>
            </w:pPr>
            <w:r>
              <w:rPr>
                <w:rFonts w:ascii="Arial" w:hAnsi="Arial"/>
                <w:sz w:val="16"/>
              </w:rPr>
              <w:t>Provenance and access clauses; data-processing terms</w:t>
            </w:r>
          </w:p>
        </w:tc>
        <w:tc>
          <w:tcPr>
            <w:tcW w:type="dxa" w:w="1872"/>
            <w:vAlign w:val="top"/>
            <w:tcMar>
              <w:top w:w="80" w:type="dxa"/>
              <w:start w:w="80" w:type="dxa"/>
              <w:bottom w:w="80" w:type="dxa"/>
              <w:end w:w="80" w:type="dxa"/>
            </w:tcMar>
          </w:tcPr>
          <w:p>
            <w:pPr>
              <w:spacing w:after="0"/>
            </w:pPr>
            <w:r>
              <w:rPr>
                <w:rFonts w:ascii="Arial" w:hAnsi="Arial"/>
                <w:sz w:val="16"/>
              </w:rPr>
              <w:t>Not validated; governance-based</w:t>
            </w:r>
          </w:p>
        </w:tc>
      </w:tr>
      <w:tr>
        <w:tc>
          <w:tcPr>
            <w:tcW w:type="dxa" w:w="1872"/>
            <w:vAlign w:val="top"/>
            <w:tcMar>
              <w:top w:w="80" w:type="dxa"/>
              <w:start w:w="80" w:type="dxa"/>
              <w:bottom w:w="80" w:type="dxa"/>
              <w:end w:w="80" w:type="dxa"/>
            </w:tcMar>
          </w:tcPr>
          <w:p>
            <w:pPr>
              <w:spacing w:after="0"/>
            </w:pPr>
            <w:r>
              <w:rPr>
                <w:rFonts w:ascii="Arial" w:hAnsi="Arial"/>
                <w:sz w:val="16"/>
              </w:rPr>
              <w:t>Deployment</w:t>
            </w:r>
          </w:p>
        </w:tc>
        <w:tc>
          <w:tcPr>
            <w:tcW w:type="dxa" w:w="1872"/>
            <w:vAlign w:val="top"/>
            <w:tcMar>
              <w:top w:w="80" w:type="dxa"/>
              <w:start w:w="80" w:type="dxa"/>
              <w:bottom w:w="80" w:type="dxa"/>
              <w:end w:w="80" w:type="dxa"/>
            </w:tcMar>
          </w:tcPr>
          <w:p>
            <w:pPr>
              <w:spacing w:after="0"/>
            </w:pPr>
            <w:r>
              <w:rPr>
                <w:rFonts w:ascii="Arial" w:hAnsi="Arial"/>
                <w:sz w:val="16"/>
              </w:rPr>
              <w:t>Feed configuration determines which fields are published</w:t>
            </w:r>
          </w:p>
        </w:tc>
        <w:tc>
          <w:tcPr>
            <w:tcW w:type="dxa" w:w="1872"/>
            <w:vAlign w:val="top"/>
            <w:tcMar>
              <w:top w:w="80" w:type="dxa"/>
              <w:start w:w="80" w:type="dxa"/>
              <w:bottom w:w="80" w:type="dxa"/>
              <w:end w:w="80" w:type="dxa"/>
            </w:tcMar>
          </w:tcPr>
          <w:p>
            <w:pPr>
              <w:spacing w:after="0"/>
            </w:pPr>
            <w:r>
              <w:rPr>
                <w:rFonts w:ascii="Arial" w:hAnsi="Arial"/>
                <w:sz w:val="16"/>
              </w:rPr>
              <w:t>GBFS field presence (D4) [2,18]</w:t>
            </w:r>
          </w:p>
        </w:tc>
        <w:tc>
          <w:tcPr>
            <w:tcW w:type="dxa" w:w="1872"/>
            <w:vAlign w:val="top"/>
            <w:tcMar>
              <w:top w:w="80" w:type="dxa"/>
              <w:start w:w="80" w:type="dxa"/>
              <w:bottom w:w="80" w:type="dxa"/>
              <w:end w:w="80" w:type="dxa"/>
            </w:tcMar>
          </w:tcPr>
          <w:p>
            <w:pPr>
              <w:spacing w:after="0"/>
            </w:pPr>
            <w:r>
              <w:rPr>
                <w:rFonts w:ascii="Arial" w:hAnsi="Arial"/>
                <w:sz w:val="16"/>
              </w:rPr>
              <w:t>Field minimization; coarse or delayed positions</w:t>
            </w:r>
          </w:p>
        </w:tc>
        <w:tc>
          <w:tcPr>
            <w:tcW w:type="dxa" w:w="1872"/>
            <w:vAlign w:val="top"/>
            <w:tcMar>
              <w:top w:w="80" w:type="dxa"/>
              <w:start w:w="80" w:type="dxa"/>
              <w:bottom w:w="80" w:type="dxa"/>
              <w:end w:w="80" w:type="dxa"/>
            </w:tcMar>
          </w:tcPr>
          <w:p>
            <w:pPr>
              <w:spacing w:after="0"/>
            </w:pPr>
            <w:r>
              <w:rPr>
                <w:rFonts w:ascii="Arial" w:hAnsi="Arial"/>
                <w:sz w:val="16"/>
              </w:rPr>
              <w:t>Not validated; design-based</w:t>
            </w:r>
          </w:p>
        </w:tc>
      </w:tr>
      <w:tr>
        <w:tc>
          <w:tcPr>
            <w:tcW w:type="dxa" w:w="1872"/>
            <w:vAlign w:val="top"/>
            <w:tcMar>
              <w:top w:w="80" w:type="dxa"/>
              <w:start w:w="80" w:type="dxa"/>
              <w:bottom w:w="80" w:type="dxa"/>
              <w:end w:w="80" w:type="dxa"/>
            </w:tcMar>
          </w:tcPr>
          <w:p>
            <w:pPr>
              <w:spacing w:after="0"/>
            </w:pPr>
            <w:r>
              <w:rPr>
                <w:rFonts w:ascii="Arial" w:hAnsi="Arial"/>
                <w:sz w:val="16"/>
              </w:rPr>
              <w:t>Operation</w:t>
            </w:r>
          </w:p>
        </w:tc>
        <w:tc>
          <w:tcPr>
            <w:tcW w:type="dxa" w:w="1872"/>
            <w:vAlign w:val="top"/>
            <w:tcMar>
              <w:top w:w="80" w:type="dxa"/>
              <w:start w:w="80" w:type="dxa"/>
              <w:bottom w:w="80" w:type="dxa"/>
              <w:end w:w="80" w:type="dxa"/>
            </w:tcMar>
          </w:tcPr>
          <w:p>
            <w:pPr>
              <w:spacing w:after="0"/>
            </w:pPr>
            <w:r>
              <w:rPr>
                <w:rFonts w:ascii="Arial" w:hAnsi="Arial"/>
                <w:sz w:val="16"/>
              </w:rPr>
              <w:t>Identifiers, positions, and timestamps enable tracking and re-identification</w:t>
            </w:r>
          </w:p>
        </w:tc>
        <w:tc>
          <w:tcPr>
            <w:tcW w:type="dxa" w:w="1872"/>
            <w:vAlign w:val="top"/>
            <w:tcMar>
              <w:top w:w="80" w:type="dxa"/>
              <w:start w:w="80" w:type="dxa"/>
              <w:bottom w:w="80" w:type="dxa"/>
              <w:end w:w="80" w:type="dxa"/>
            </w:tcMar>
          </w:tcPr>
          <w:p>
            <w:pPr>
              <w:spacing w:after="0"/>
            </w:pPr>
            <w:r>
              <w:rPr>
                <w:rFonts w:ascii="Arial" w:hAnsi="Arial"/>
                <w:sz w:val="16"/>
              </w:rPr>
              <w:t>Empirical audits (D4) [2,9]; mobility re-identification (D2) [1]</w:t>
            </w:r>
          </w:p>
        </w:tc>
        <w:tc>
          <w:tcPr>
            <w:tcW w:type="dxa" w:w="1872"/>
            <w:vAlign w:val="top"/>
            <w:tcMar>
              <w:top w:w="80" w:type="dxa"/>
              <w:start w:w="80" w:type="dxa"/>
              <w:bottom w:w="80" w:type="dxa"/>
              <w:end w:w="80" w:type="dxa"/>
            </w:tcMar>
          </w:tcPr>
          <w:p>
            <w:pPr>
              <w:spacing w:after="0"/>
            </w:pPr>
            <w:r>
              <w:rPr>
                <w:rFonts w:ascii="Arial" w:hAnsi="Arial"/>
                <w:sz w:val="16"/>
              </w:rPr>
              <w:t>Local processing; access and retention limits</w:t>
            </w:r>
          </w:p>
        </w:tc>
        <w:tc>
          <w:tcPr>
            <w:tcW w:type="dxa" w:w="1872"/>
            <w:vAlign w:val="top"/>
            <w:tcMar>
              <w:top w:w="80" w:type="dxa"/>
              <w:start w:w="80" w:type="dxa"/>
              <w:bottom w:w="80" w:type="dxa"/>
              <w:end w:w="80" w:type="dxa"/>
            </w:tcMar>
          </w:tcPr>
          <w:p>
            <w:pPr>
              <w:spacing w:after="0"/>
            </w:pPr>
            <w:r>
              <w:rPr>
                <w:rFonts w:ascii="Arial" w:hAnsi="Arial"/>
                <w:sz w:val="16"/>
              </w:rPr>
              <w:t>Partly supported by attack studies; controls not validated</w:t>
            </w:r>
          </w:p>
        </w:tc>
      </w:tr>
      <w:tr>
        <w:tc>
          <w:tcPr>
            <w:tcW w:type="dxa" w:w="1872"/>
            <w:vAlign w:val="top"/>
            <w:tcMar>
              <w:top w:w="80" w:type="dxa"/>
              <w:start w:w="80" w:type="dxa"/>
              <w:bottom w:w="80" w:type="dxa"/>
              <w:end w:w="80" w:type="dxa"/>
            </w:tcMar>
          </w:tcPr>
          <w:p>
            <w:pPr>
              <w:spacing w:after="0"/>
            </w:pPr>
            <w:r>
              <w:rPr>
                <w:rFonts w:ascii="Arial" w:hAnsi="Arial"/>
                <w:sz w:val="16"/>
              </w:rPr>
              <w:t>Maintenance/service</w:t>
            </w:r>
          </w:p>
        </w:tc>
        <w:tc>
          <w:tcPr>
            <w:tcW w:type="dxa" w:w="1872"/>
            <w:vAlign w:val="top"/>
            <w:tcMar>
              <w:top w:w="80" w:type="dxa"/>
              <w:start w:w="80" w:type="dxa"/>
              <w:bottom w:w="80" w:type="dxa"/>
              <w:end w:w="80" w:type="dxa"/>
            </w:tcMar>
          </w:tcPr>
          <w:p>
            <w:pPr>
              <w:spacing w:after="0"/>
            </w:pPr>
            <w:r>
              <w:rPr>
                <w:rFonts w:ascii="Arial" w:hAnsi="Arial"/>
                <w:sz w:val="16"/>
              </w:rPr>
              <w:t>Contractor access to devices and records</w:t>
            </w:r>
          </w:p>
        </w:tc>
        <w:tc>
          <w:tcPr>
            <w:tcW w:type="dxa" w:w="1872"/>
            <w:vAlign w:val="top"/>
            <w:tcMar>
              <w:top w:w="80" w:type="dxa"/>
              <w:start w:w="80" w:type="dxa"/>
              <w:bottom w:w="80" w:type="dxa"/>
              <w:end w:w="80" w:type="dxa"/>
            </w:tcMar>
          </w:tcPr>
          <w:p>
            <w:pPr>
              <w:spacing w:after="0"/>
            </w:pPr>
            <w:r>
              <w:rPr>
                <w:rFonts w:ascii="Arial" w:hAnsi="Arial"/>
                <w:sz w:val="16"/>
              </w:rPr>
              <w:t>Forensic and platform studies (D3-D4) [12,28]</w:t>
            </w:r>
          </w:p>
        </w:tc>
        <w:tc>
          <w:tcPr>
            <w:tcW w:type="dxa" w:w="1872"/>
            <w:vAlign w:val="top"/>
            <w:tcMar>
              <w:top w:w="80" w:type="dxa"/>
              <w:start w:w="80" w:type="dxa"/>
              <w:bottom w:w="80" w:type="dxa"/>
              <w:end w:w="80" w:type="dxa"/>
            </w:tcMar>
          </w:tcPr>
          <w:p>
            <w:pPr>
              <w:spacing w:after="0"/>
            </w:pPr>
            <w:r>
              <w:rPr>
                <w:rFonts w:ascii="Arial" w:hAnsi="Arial"/>
                <w:sz w:val="16"/>
              </w:rPr>
              <w:t>Controlled contractor access; audit logging</w:t>
            </w:r>
          </w:p>
        </w:tc>
        <w:tc>
          <w:tcPr>
            <w:tcW w:type="dxa" w:w="1872"/>
            <w:vAlign w:val="top"/>
            <w:tcMar>
              <w:top w:w="80" w:type="dxa"/>
              <w:start w:w="80" w:type="dxa"/>
              <w:bottom w:w="80" w:type="dxa"/>
              <w:end w:w="80" w:type="dxa"/>
            </w:tcMar>
          </w:tcPr>
          <w:p>
            <w:pPr>
              <w:spacing w:after="0"/>
            </w:pPr>
            <w:r>
              <w:rPr>
                <w:rFonts w:ascii="Arial" w:hAnsi="Arial"/>
                <w:sz w:val="16"/>
              </w:rPr>
              <w:t>Not validated</w:t>
            </w:r>
          </w:p>
        </w:tc>
      </w:tr>
      <w:tr>
        <w:tc>
          <w:tcPr>
            <w:tcW w:type="dxa" w:w="1872"/>
            <w:vAlign w:val="top"/>
            <w:tcMar>
              <w:top w:w="80" w:type="dxa"/>
              <w:start w:w="80" w:type="dxa"/>
              <w:bottom w:w="80" w:type="dxa"/>
              <w:end w:w="80" w:type="dxa"/>
            </w:tcMar>
          </w:tcPr>
          <w:p>
            <w:pPr>
              <w:spacing w:after="0"/>
            </w:pPr>
            <w:r>
              <w:rPr>
                <w:rFonts w:ascii="Arial" w:hAnsi="Arial"/>
                <w:sz w:val="16"/>
              </w:rPr>
              <w:t>Recall/return</w:t>
            </w:r>
          </w:p>
        </w:tc>
        <w:tc>
          <w:tcPr>
            <w:tcW w:type="dxa" w:w="1872"/>
            <w:vAlign w:val="top"/>
            <w:tcMar>
              <w:top w:w="80" w:type="dxa"/>
              <w:start w:w="80" w:type="dxa"/>
              <w:bottom w:w="80" w:type="dxa"/>
              <w:end w:w="80" w:type="dxa"/>
            </w:tcMar>
          </w:tcPr>
          <w:p>
            <w:pPr>
              <w:spacing w:after="0"/>
            </w:pPr>
            <w:r>
              <w:rPr>
                <w:rFonts w:ascii="Arial" w:hAnsi="Arial"/>
                <w:sz w:val="16"/>
              </w:rPr>
              <w:t>Returned units retain stored data</w:t>
            </w:r>
          </w:p>
        </w:tc>
        <w:tc>
          <w:tcPr>
            <w:tcW w:type="dxa" w:w="1872"/>
            <w:vAlign w:val="top"/>
            <w:tcMar>
              <w:top w:w="80" w:type="dxa"/>
              <w:start w:w="80" w:type="dxa"/>
              <w:bottom w:w="80" w:type="dxa"/>
              <w:end w:w="80" w:type="dxa"/>
            </w:tcMar>
          </w:tcPr>
          <w:p>
            <w:pPr>
              <w:spacing w:after="0"/>
            </w:pPr>
            <w:r>
              <w:rPr>
                <w:rFonts w:ascii="Arial" w:hAnsi="Arial"/>
                <w:sz w:val="16"/>
              </w:rPr>
              <w:t>IoT reuse study (D2) [13]</w:t>
            </w:r>
          </w:p>
        </w:tc>
        <w:tc>
          <w:tcPr>
            <w:tcW w:type="dxa" w:w="1872"/>
            <w:vAlign w:val="top"/>
            <w:tcMar>
              <w:top w:w="80" w:type="dxa"/>
              <w:start w:w="80" w:type="dxa"/>
              <w:bottom w:w="80" w:type="dxa"/>
              <w:end w:w="80" w:type="dxa"/>
            </w:tcMar>
          </w:tcPr>
          <w:p>
            <w:pPr>
              <w:spacing w:after="0"/>
            </w:pPr>
            <w:r>
              <w:rPr>
                <w:rFonts w:ascii="Arial" w:hAnsi="Arial"/>
                <w:sz w:val="16"/>
              </w:rPr>
              <w:t>Chain-of-custody for returned units</w:t>
            </w:r>
          </w:p>
        </w:tc>
        <w:tc>
          <w:tcPr>
            <w:tcW w:type="dxa" w:w="1872"/>
            <w:vAlign w:val="top"/>
            <w:tcMar>
              <w:top w:w="80" w:type="dxa"/>
              <w:start w:w="80" w:type="dxa"/>
              <w:bottom w:w="80" w:type="dxa"/>
              <w:end w:w="80" w:type="dxa"/>
            </w:tcMar>
          </w:tcPr>
          <w:p>
            <w:pPr>
              <w:spacing w:after="0"/>
            </w:pPr>
            <w:r>
              <w:rPr>
                <w:rFonts w:ascii="Arial" w:hAnsi="Arial"/>
                <w:sz w:val="16"/>
              </w:rPr>
              <w:t>Not validated; analogy-based</w:t>
            </w:r>
          </w:p>
        </w:tc>
      </w:tr>
      <w:tr>
        <w:tc>
          <w:tcPr>
            <w:tcW w:type="dxa" w:w="1872"/>
            <w:vAlign w:val="top"/>
            <w:tcMar>
              <w:top w:w="80" w:type="dxa"/>
              <w:start w:w="80" w:type="dxa"/>
              <w:bottom w:w="80" w:type="dxa"/>
              <w:end w:w="80" w:type="dxa"/>
            </w:tcMar>
          </w:tcPr>
          <w:p>
            <w:pPr>
              <w:spacing w:after="0"/>
            </w:pPr>
            <w:r>
              <w:rPr>
                <w:rFonts w:ascii="Arial" w:hAnsi="Arial"/>
                <w:sz w:val="16"/>
              </w:rPr>
              <w:t>Second-life/disposal</w:t>
            </w:r>
          </w:p>
        </w:tc>
        <w:tc>
          <w:tcPr>
            <w:tcW w:type="dxa" w:w="1872"/>
            <w:vAlign w:val="top"/>
            <w:tcMar>
              <w:top w:w="80" w:type="dxa"/>
              <w:start w:w="80" w:type="dxa"/>
              <w:bottom w:w="80" w:type="dxa"/>
              <w:end w:w="80" w:type="dxa"/>
            </w:tcMar>
          </w:tcPr>
          <w:p>
            <w:pPr>
              <w:spacing w:after="0"/>
            </w:pPr>
            <w:r>
              <w:rPr>
                <w:rFonts w:ascii="Arial" w:hAnsi="Arial"/>
                <w:sz w:val="16"/>
              </w:rPr>
              <w:t>Residual data on storage and batteries</w:t>
            </w:r>
          </w:p>
        </w:tc>
        <w:tc>
          <w:tcPr>
            <w:tcW w:type="dxa" w:w="1872"/>
            <w:vAlign w:val="top"/>
            <w:tcMar>
              <w:top w:w="80" w:type="dxa"/>
              <w:start w:w="80" w:type="dxa"/>
              <w:bottom w:w="80" w:type="dxa"/>
              <w:end w:w="80" w:type="dxa"/>
            </w:tcMar>
          </w:tcPr>
          <w:p>
            <w:pPr>
              <w:spacing w:after="0"/>
            </w:pPr>
            <w:r>
              <w:rPr>
                <w:rFonts w:ascii="Arial" w:hAnsi="Arial"/>
                <w:sz w:val="16"/>
              </w:rPr>
              <w:t>Data remanence and battery side-channel (D2) [14-16]; sanitization guidance (N) [24]</w:t>
            </w:r>
          </w:p>
        </w:tc>
        <w:tc>
          <w:tcPr>
            <w:tcW w:type="dxa" w:w="1872"/>
            <w:vAlign w:val="top"/>
            <w:tcMar>
              <w:top w:w="80" w:type="dxa"/>
              <w:start w:w="80" w:type="dxa"/>
              <w:bottom w:w="80" w:type="dxa"/>
              <w:end w:w="80" w:type="dxa"/>
            </w:tcMar>
          </w:tcPr>
          <w:p>
            <w:pPr>
              <w:spacing w:after="0"/>
            </w:pPr>
            <w:r>
              <w:rPr>
                <w:rFonts w:ascii="Arial" w:hAnsi="Arial"/>
                <w:sz w:val="16"/>
              </w:rPr>
              <w:t>Verified media sanitization before resale or recycling</w:t>
            </w:r>
          </w:p>
        </w:tc>
        <w:tc>
          <w:tcPr>
            <w:tcW w:type="dxa" w:w="1872"/>
            <w:vAlign w:val="top"/>
            <w:tcMar>
              <w:top w:w="80" w:type="dxa"/>
              <w:start w:w="80" w:type="dxa"/>
              <w:bottom w:w="80" w:type="dxa"/>
              <w:end w:w="80" w:type="dxa"/>
            </w:tcMar>
          </w:tcPr>
          <w:p>
            <w:pPr>
              <w:spacing w:after="0"/>
            </w:pPr>
            <w:r>
              <w:rPr>
                <w:rFonts w:ascii="Arial" w:hAnsi="Arial"/>
                <w:sz w:val="16"/>
              </w:rPr>
              <w:t>Not validated; standards-based</w:t>
            </w:r>
          </w:p>
        </w:tc>
      </w:tr>
    </w:tbl>
    <w:p/>
    <w:p>
      <w:pPr>
        <w:pStyle w:val="Heading2"/>
      </w:pPr>
      <w:r>
        <w:t>4.1. Implications for transport management and concession design</w:t>
      </w:r>
    </w:p>
    <w:p>
      <w:pPr>
        <w:ind w:firstLine="432"/>
        <w:jc w:val="both"/>
      </w:pPr>
      <w:r>
        <w:rPr>
          <w:rFonts w:ascii="Times New Roman" w:hAnsi="Times New Roman"/>
          <w:sz w:val="24"/>
        </w:rPr>
        <w:t>For procuring organizations, concession authorities, and transport managers, the findings point to three priorities for shared-micromobility data governance.</w:t>
      </w:r>
    </w:p>
    <w:p>
      <w:pPr>
        <w:ind w:firstLine="432"/>
        <w:jc w:val="both"/>
      </w:pPr>
      <w:r>
        <w:rPr>
          <w:rFonts w:ascii="Times New Roman" w:hAnsi="Times New Roman"/>
          <w:sz w:val="24"/>
        </w:rPr>
        <w:t>First, procurement clauses and concession agreements should require disclosure of the vehicle fields that are published in open feeds, not only real-time location. Prior work indicates that identifiers and timestamps, combined with position, are what make re-identification and tracking feasible [1,2], and range and battery state add further activity information [15]; their prevalence in public feeds means that procurement templates or service-level agreements that consider only GPS coordinates understate what is disclosed. Requiring an auditable field inventory in procurement documents would let managers compare operators on a common checklist rather than on self-reported privacy claims.</w:t>
      </w:r>
    </w:p>
    <w:p>
      <w:pPr>
        <w:ind w:firstLine="432"/>
        <w:jc w:val="both"/>
      </w:pPr>
      <w:r>
        <w:rPr>
          <w:rFonts w:ascii="Times New Roman" w:hAnsi="Times New Roman"/>
          <w:sz w:val="24"/>
        </w:rPr>
        <w:t>Second, operator accountability frameworks should close the lifecycle gaps visible in the document audit. Battery and diagnostic data were addressed by a minority of notices, and vulnerability disclosure channels and device return or disposal handling by none. These omissions matter because near-domain evidence places data-remanence and secondary-market risks at custody changes near the end of a device's life [13,14]. Requiring operators to publish plain statements on these domains - or to explain why they are not applicable - would make the market easier to compare and govern without mandating specific technical architectures.</w:t>
      </w:r>
    </w:p>
    <w:p>
      <w:pPr>
        <w:ind w:firstLine="432"/>
        <w:jc w:val="both"/>
      </w:pPr>
      <w:r>
        <w:rPr>
          <w:rFonts w:ascii="Times New Roman" w:hAnsi="Times New Roman"/>
          <w:sz w:val="24"/>
        </w:rPr>
        <w:t>Third, standards and guidance can be targeted where evidence is strongest. GBFS already exposes which fields are published, so feed-level transparency can be improved by standardizing the optional fields that affect privacy and by documenting the rationale for their inclusion. For end-of-life handling, where only near-domain evidence exists, governance bodies should treat disposal requirements as precautionary rather than evidence-based until device-level empirical studies become available. The lifecycle framework supplied in this article is designed to make these gradations explicit so that management can track evidence rather than assume it.</w:t>
      </w:r>
    </w:p>
    <w:p>
      <w:pPr>
        <w:ind w:firstLine="432"/>
        <w:jc w:val="both"/>
      </w:pPr>
      <w:r>
        <w:rPr>
          <w:rFonts w:ascii="Times New Roman" w:hAnsi="Times New Roman"/>
          <w:sz w:val="24"/>
        </w:rPr>
        <w:t>Together, these priorities turn feed-level disclosures and privacy notices into observable governance indicators that managers can use to compare operators, score tenders, and write more complete concession contracts without prescribing technical implementation. Because the indicators are derived from public artefacts with a reproducible procedure, they can be recomputed at each tender or permit renewal without additional data collection from operators, which makes them candidates for monitoring metrics in multi-year concession arrangements; whether they predict operator behaviour or improve contract outcomes remains to be tested.</w:t>
      </w:r>
    </w:p>
    <w:p>
      <w:pPr>
        <w:pStyle w:val="Heading2"/>
      </w:pPr>
      <w:r>
        <w:t>4.2. Limitations</w:t>
      </w:r>
    </w:p>
    <w:p>
      <w:pPr>
        <w:ind w:firstLine="432"/>
        <w:jc w:val="both"/>
      </w:pPr>
      <w:r>
        <w:rPr>
          <w:rFonts w:ascii="Times New Roman" w:hAnsi="Times New Roman"/>
          <w:sz w:val="24"/>
        </w:rPr>
        <w:t>Several limitations bound these findings. Screening and coding were performed by a single reviewer with computer assistance; although the process is deterministic and reproducible, it does not provide inter-rater reliability, and some included studies were characterized from abstracts and curated metadata rather than from independently reproduced experiments. The GBFS audit observes only what is published in public feeds at a single point in time; it cannot show what operators collect or retain internally, and field presence is not a measure of harm. The disclosure audit reflects the public documents we could retrieve for 15 operators selected by number of GBFS systems; not-found codings denote silence, two operators were unavailable, the sample is small relative to the population of operator domains and is weighted toward European and North American providers, and smaller operators may disclose differently. The principal-agent interpretation is a framing, not an estimated model: we did not observe contracts, tender scores, compliance costs, or prices, so the study cannot quantify the economic value of disclosure or the cost of the proposed clauses. Finally, the lifecycle controls are proposals; validating them would require intervention studies or operator cooperation that were outside this study's scope.</w:t>
      </w:r>
    </w:p>
    <w:p>
      <w:pPr>
        <w:pStyle w:val="Heading1"/>
      </w:pPr>
      <w:r>
        <w:t>5. Conclusion</w:t>
      </w:r>
    </w:p>
    <w:p>
      <w:pPr>
        <w:ind w:firstLine="432"/>
        <w:jc w:val="both"/>
      </w:pPr>
      <w:r>
        <w:rPr>
          <w:rFonts w:ascii="Times New Roman" w:hAnsi="Times New Roman"/>
          <w:sz w:val="24"/>
        </w:rPr>
        <w:t>Shared micromobility offers a tractable, fully public setting in which to study lifecycle data exposure in connected devices that organizations use but do not control. A scoping review of 2,169 records identified 18 direct studies whose strongest evidence concerns the operation stage; a global audit of 1,428 public GBFS systems showed that persistent identifiers and precise positions are disclosed at high prevalence; and a disclosure audit showed that operators document operational processing thoroughly but are silent on device disposal and vulnerability reporting. These are disclosure and evidence signals, not demonstrations of harm. The lifecycle model and its traceability table turn them into an auditable agenda for procurement and risk governance: extend assessment beyond real-time location, close the documentation gaps at end-of-life, and empirically validate the proposed controls with operators and procuring bodies.</w:t>
      </w:r>
    </w:p>
    <w:p>
      <w:pPr>
        <w:spacing w:before="120" w:after="80"/>
      </w:pPr>
      <w:r>
        <w:rPr>
          <w:b/>
        </w:rPr>
        <w:t xml:space="preserve">CRediT authorship contribution statement. </w:t>
      </w:r>
      <w:r>
        <w:t>Author contributions are withheld to preserve author anonymity for double-masked peer review; they will be restored on acceptance.</w:t>
      </w:r>
    </w:p>
    <w:p>
      <w:pPr>
        <w:spacing w:before="120" w:after="80"/>
      </w:pPr>
      <w:r>
        <w:rPr>
          <w:b/>
        </w:rPr>
        <w:t xml:space="preserve">Declaration of generative AI and AI-assisted technologies in the writing process. </w:t>
      </w:r>
      <w:r>
        <w:t>During the preparation of this work the author(s) used generative AI language tools only to improve the readability and language of the manuscript. No generative AI tool was used to produce scientific content, analysis, or interpretation. After using these tools, the author(s) reviewed and edited the content as needed and take(s) full responsibility for the content of the published article.</w:t>
      </w:r>
    </w:p>
    <w:p>
      <w:pPr>
        <w:spacing w:before="120" w:after="80"/>
      </w:pPr>
      <w:r>
        <w:rPr>
          <w:b/>
        </w:rPr>
        <w:t xml:space="preserve">Funding. </w:t>
      </w:r>
      <w:r>
        <w:t>This research did not receive any specific grant from funding agencies in the public, commercial, or not-for-profit sectors.</w:t>
      </w:r>
    </w:p>
    <w:p>
      <w:pPr>
        <w:spacing w:before="120" w:after="80"/>
      </w:pPr>
      <w:r>
        <w:rPr>
          <w:b/>
        </w:rPr>
        <w:t xml:space="preserve">Declaration of competing interest. </w:t>
      </w:r>
      <w:r>
        <w:t>The author(s) declare that they have no known competing financial interests or personal relationships that could have appeared to influence the work reported in this paper.</w:t>
      </w:r>
    </w:p>
    <w:p>
      <w:pPr>
        <w:spacing w:before="120" w:after="80"/>
      </w:pPr>
      <w:r>
        <w:rPr>
          <w:b/>
        </w:rPr>
        <w:t xml:space="preserve">Acknowledgements. </w:t>
      </w:r>
      <w:r>
        <w:t>Acknowledgements are withheld to preserve author anonymity for double-masked peer review; they will be restored on acceptance.</w:t>
      </w:r>
    </w:p>
    <w:p>
      <w:pPr>
        <w:spacing w:before="120" w:after="80"/>
      </w:pPr>
      <w:r>
        <w:rPr>
          <w:b/>
        </w:rPr>
        <w:t xml:space="preserve">Ethical standards. </w:t>
      </w:r>
      <w:r>
        <w:t>The research meets all ethical guidelines, including adherence to the legal requirements of the study jurisdiction. No human participants were recruited. The study analyzed only publicly accessible feeds and documents and did not attempt authentication, access-control circumvention, or interaction with individual users.</w:t>
      </w:r>
    </w:p>
    <w:p>
      <w:pPr>
        <w:spacing w:before="120" w:after="80"/>
      </w:pPr>
      <w:r>
        <w:rPr>
          <w:b/>
        </w:rPr>
        <w:t xml:space="preserve">Data availability. </w:t>
      </w:r>
      <w:r>
        <w:t>The data and code that support the findings of this study will be deposited in a public repository on acceptance and are available from the corresponding author on reasonable request during peer review. The archive contains the frozen GBFS registry snapshot and its checksum, the title/abstract and full-text screening decisions, the disclosure-audit coding sheets with verbatim locator quotations, the analysis scripts, the analysis results, and the figure- and table-generation code. Raw vehicle identifiers, exact coordinates, and vehicle-specific deep links were not retained; only field presence or absence was recorded. Upon acceptance, these materials will be assigned a permanent DOI. Every count, proportion, and confidence interval reported in the article can be regenerated from these materials with a single build command.</w:t>
      </w:r>
    </w:p>
    <w:p>
      <w:pPr>
        <w:pStyle w:val="Heading1"/>
      </w:pPr>
      <w:r>
        <w:t>References</w:t>
      </w:r>
    </w:p>
    <w:p>
      <w:pPr>
        <w:spacing w:line="240" w:lineRule="auto" w:after="80"/>
        <w:ind w:left="576" w:hanging="576"/>
      </w:pPr>
      <w:r>
        <w:t>[1] Y.-A. de Montjoye, C.A. Hidalgo, M. Verleysen, V.D. Blondel, Unique in the crowd: the privacy bounds of human mobility, Sci. Rep. 3 (2013) 1376. https://doi.org/10.1038/srep01376.</w:t>
      </w:r>
    </w:p>
    <w:p>
      <w:pPr>
        <w:spacing w:line="240" w:lineRule="auto" w:after="80"/>
        <w:ind w:left="576" w:hanging="576"/>
      </w:pPr>
      <w:r>
        <w:t>[2] T. Elzer, M. Ruben, J. Classen, M. Hollick, They see me scooting: a long-term real-world data analysis of shared micro-mobility services, in: 2025 IEEE 10th European Symposium on Security and Privacy (EuroS&amp;P), IEEE, 2025. https://doi.org/10.1109/EuroSP63326.2025.00014.</w:t>
      </w:r>
    </w:p>
    <w:p>
      <w:pPr>
        <w:spacing w:line="240" w:lineRule="auto" w:after="80"/>
        <w:ind w:left="576" w:hanging="576"/>
      </w:pPr>
      <w:r>
        <w:t>[3] S. Gossling, Integrating e-scooters in urban transportation: problems, policies, and the prospect of system change, Transp. Res. D Transp. Environ. 79 (2020) 102230. https://doi.org/10.1016/j.trd.2020.102230.</w:t>
      </w:r>
    </w:p>
    <w:p>
      <w:pPr>
        <w:spacing w:line="240" w:lineRule="auto" w:after="80"/>
        <w:ind w:left="576" w:hanging="576"/>
      </w:pPr>
      <w:r>
        <w:t>[4] K. Button, H. Frye, D. Reaves, Economic regulation and e-scooter networks in the USA, Res. Transp. Econ. 84 (2020) 100973. https://doi.org/10.1016/j.retrec.2020.100973.</w:t>
      </w:r>
    </w:p>
    <w:p>
      <w:pPr>
        <w:spacing w:line="240" w:lineRule="auto" w:after="80"/>
        <w:ind w:left="576" w:hanging="576"/>
      </w:pPr>
      <w:r>
        <w:t>[5] I. Docherty, G. Marsden, J. Anable, The governance of smart mobility, Transp. Res. A Policy Pract. 115 (2018) 114-125. https://doi.org/10.1016/j.tra.2017.09.012.</w:t>
      </w:r>
    </w:p>
    <w:p>
      <w:pPr>
        <w:spacing w:line="240" w:lineRule="auto" w:after="80"/>
        <w:ind w:left="576" w:hanging="576"/>
      </w:pPr>
      <w:r>
        <w:t>[6] K. Pangbourne, M.N. Mladenovic, D. Stead, D. Milakis, Questioning mobility as a service: unanticipated implications for society and governance, Transp. Res. A Policy Pract. 131 (2020) 35-49. https://doi.org/10.1016/j.tra.2019.09.033.</w:t>
      </w:r>
    </w:p>
    <w:p>
      <w:pPr>
        <w:spacing w:line="240" w:lineRule="auto" w:after="80"/>
        <w:ind w:left="576" w:hanging="576"/>
      </w:pPr>
      <w:r>
        <w:t>[7] O. Hart, A. Shleifer, R.W. Vishny, The proper scope of government: theory and an application to prisons, Q. J. Econ. 112 (1997) 1127-1161. https://doi.org/10.1162/003355300555448.</w:t>
      </w:r>
    </w:p>
    <w:p>
      <w:pPr>
        <w:spacing w:line="240" w:lineRule="auto" w:after="80"/>
        <w:ind w:left="576" w:hanging="576"/>
      </w:pPr>
      <w:r>
        <w:t>[8] C.D. Cottrill, MaaS surveillance: privacy considerations in mobility as a service, Transp. Res. A Policy Pract. 131 (2020) 50-57. https://doi.org/10.1016/j.tra.2019.09.026.</w:t>
      </w:r>
    </w:p>
    <w:p>
      <w:pPr>
        <w:spacing w:line="240" w:lineRule="auto" w:after="80"/>
        <w:ind w:left="576" w:hanging="576"/>
      </w:pPr>
      <w:r>
        <w:t>[9] N. Vinayaga-Sureshkanth, A. Maiti, M. Jadliwala, K. Crager, J. He, H. Rathore, An investigative study on the privacy implications of mobile e-scooter rental apps, in: Proceedings of the 15th ACM Conference on Security and Privacy in Wireless and Mobile Networks (WiSec), ACM, 2022. https://doi.org/10.1145/3507657.3528551.</w:t>
      </w:r>
    </w:p>
    <w:p>
      <w:pPr>
        <w:spacing w:line="240" w:lineRule="auto" w:after="80"/>
        <w:ind w:left="576" w:hanging="576"/>
      </w:pPr>
      <w:r>
        <w:t>[10] M. Casagrande, E. Losiouk, M. Conti, M. Payer, D. Antonioli, E-Spoofer: attacking and defending Xiaomi electric scooter ecosystem, in: Proceedings of the 16th ACM Conference on Security and Privacy in Wireless and Mobile Networks (WiSec), ACM, 2023. https://doi.org/10.1145/3558482.3590176.</w:t>
      </w:r>
    </w:p>
    <w:p>
      <w:pPr>
        <w:spacing w:line="240" w:lineRule="auto" w:after="80"/>
        <w:ind w:left="576" w:hanging="576"/>
      </w:pPr>
      <w:r>
        <w:t>[11] S. Yilmaz, M.E. Karsligil, Geo-location spoofing on e-scooters: threat analysis and prevention framework, Balkan J. Electr. Comput. Eng. 11 (2023). https://doi.org/10.17694/bajece.1231384.</w:t>
      </w:r>
    </w:p>
    <w:p>
      <w:pPr>
        <w:spacing w:line="240" w:lineRule="auto" w:after="80"/>
        <w:ind w:left="576" w:hanging="576"/>
      </w:pPr>
      <w:r>
        <w:t>[12] J.-N. Hilgert, M. Lambertz, M. Rybalka, R. Schell, R. Vogt, A forensic analysis of micromobility solutions, Forensic Sci. Int. Digit. Investig. 38 (2021) 301137. https://doi.org/10.1016/j.fsidi.2021.301137.</w:t>
      </w:r>
    </w:p>
    <w:p>
      <w:pPr>
        <w:spacing w:line="240" w:lineRule="auto" w:after="80"/>
        <w:ind w:left="576" w:hanging="576"/>
      </w:pPr>
      <w:r>
        <w:t>[13] Y. Liu, Z. Zhou, J. Zhang, et al., How IoT re-using threatens your sensitive data: exploring the user-data disposal in used IoT devices, in: 2023 IEEE Symposium on Security and Privacy (SP), IEEE, 2023. https://doi.org/10.1109/SP46215.2023.10179294.</w:t>
      </w:r>
    </w:p>
    <w:p>
      <w:pPr>
        <w:spacing w:line="240" w:lineRule="auto" w:after="80"/>
        <w:ind w:left="576" w:hanging="576"/>
      </w:pPr>
      <w:r>
        <w:t>[14] A. Joshi, M.S. Raval, Standards and techniques to remove data remanence in cloud storage, in: 2018 IEEE Punecon, IEEE, 2018. https://doi.org/10.1109/PUNECON.2018.8745370.</w:t>
      </w:r>
    </w:p>
    <w:p>
      <w:pPr>
        <w:spacing w:line="240" w:lineRule="auto" w:after="80"/>
        <w:ind w:left="576" w:hanging="576"/>
      </w:pPr>
      <w:r>
        <w:t>[15] A. Marchiori, E. Losiouk, M. Conti, D. Antonioli, Leaky batteries: a novel set of side-channel attacks on electric vehicles, in: Computer Security - ESORICS 2025, Lecture Notes in Computer Science, Springer, 2025. https://doi.org/10.1007/978-3-032-00624-0_16.</w:t>
      </w:r>
    </w:p>
    <w:p>
      <w:pPr>
        <w:spacing w:line="240" w:lineRule="auto" w:after="80"/>
        <w:ind w:left="576" w:hanging="576"/>
      </w:pPr>
      <w:r>
        <w:t>[16] F. Basic, M. Gaertner, C. Steger, Secure data acquisition for battery management systems, in: 2023 26th Euromicro Conference on Digital System Design (DSD), IEEE, 2023. https://doi.org/10.1109/DSD60849.2023.00082.</w:t>
      </w:r>
    </w:p>
    <w:p>
      <w:pPr>
        <w:spacing w:line="240" w:lineRule="auto" w:after="80"/>
        <w:ind w:left="576" w:hanging="576"/>
      </w:pPr>
      <w:r>
        <w:t>[17] A.C. Tricco, E. Lillie, W. Zarin, K.K. O'Brien, H. Colquhoun, D. Levac, et al., PRISMA Extension for Scoping Reviews (PRISMA-ScR): checklist and explanation, Ann. Intern. Med. 169 (2018) 467-473. https://doi.org/10.7326/M18-0850.</w:t>
      </w:r>
    </w:p>
    <w:p>
      <w:pPr>
        <w:spacing w:line="240" w:lineRule="auto" w:after="80"/>
        <w:ind w:left="576" w:hanging="576"/>
      </w:pPr>
      <w:r>
        <w:t>[18] MobilityData, General Bikeshare Feed Specification (GBFS), version 3.0, 2024. https://gbfs.org/ (accessed 12 July 2026).</w:t>
      </w:r>
    </w:p>
    <w:p>
      <w:pPr>
        <w:spacing w:line="240" w:lineRule="auto" w:after="80"/>
        <w:ind w:left="576" w:hanging="576"/>
      </w:pPr>
      <w:r>
        <w:t>[19] H. Arksey, L. O'Malley, Scoping studies: towards a methodological framework, Int. J. Soc. Res. Methodol. 8 (2005) 19-32. https://doi.org/10.1080/1364557032000119616.</w:t>
      </w:r>
    </w:p>
    <w:p>
      <w:pPr>
        <w:spacing w:line="240" w:lineRule="auto" w:after="80"/>
        <w:ind w:left="576" w:hanging="576"/>
      </w:pPr>
      <w:r>
        <w:t>[dataset] [20] MobilityData, GBFS systems catalogue (systems.csv), GitHub, snapshot of 8 July 2026, 2026. https://github.com/MobilityData/gbfs (accessed 8 July 2026).</w:t>
      </w:r>
    </w:p>
    <w:p>
      <w:pPr>
        <w:spacing w:line="240" w:lineRule="auto" w:after="80"/>
        <w:ind w:left="576" w:hanging="576"/>
      </w:pPr>
      <w:r>
        <w:t>[21] Open Mobility Foundation, MDS privacy guide for cities, 2021. https://www.openmobilityfoundation.org/introducing-the-mds-privacy-guide-for-cities/ (accessed 9 September 2026).</w:t>
      </w:r>
    </w:p>
    <w:p>
      <w:pPr>
        <w:spacing w:line="240" w:lineRule="auto" w:after="80"/>
        <w:ind w:left="576" w:hanging="576"/>
      </w:pPr>
      <w:r>
        <w:t>[22] European Data Protection Board, Guidelines 01/2020 on processing personal data in the context of connected vehicles and mobility related applications, version 2.0, 2021. https://www.edpb.europa.eu/documents/guideline/guidelines-012020-on-processing-personal-data-in-the-context-of-connected_en (accessed 9 September 2026).</w:t>
      </w:r>
    </w:p>
    <w:p>
      <w:pPr>
        <w:spacing w:line="240" w:lineRule="auto" w:after="80"/>
        <w:ind w:left="576" w:hanging="576"/>
      </w:pPr>
      <w:r>
        <w:t>[23] G.H. Guyatt, A.D. Oxman, R. Kunz, J. Woodcock, J. Brozek, M. Helfand, et al., GRADE guidelines: 8. Rating the quality of evidence - indirectness, J. Clin. Epidemiol. 64 (2011) 1303-1310. https://doi.org/10.1016/j.jclinepi.2011.04.014.</w:t>
      </w:r>
    </w:p>
    <w:p>
      <w:pPr>
        <w:spacing w:line="240" w:lineRule="auto" w:after="80"/>
        <w:ind w:left="576" w:hanging="576"/>
      </w:pPr>
      <w:r>
        <w:t>[24] R. Kissel, A. Regenscheid, M. Scholl, K. Stine, Guidelines for Media Sanitization, NIST Special Publication 800-88 Revision 1, National Institute of Standards and Technology, 2014. https://doi.org/10.6028/NIST.SP.800-88r1.</w:t>
      </w:r>
    </w:p>
    <w:p>
      <w:pPr>
        <w:spacing w:line="240" w:lineRule="auto" w:after="80"/>
        <w:ind w:left="576" w:hanging="576"/>
      </w:pPr>
      <w:r>
        <w:t>[25] J. Boyens, A. Smith, N. Bartol, K. Winkler, A. Holbrook, M. Fallon, Cybersecurity Supply Chain Risk Management Practices for Systems and Organizations, NIST Special Publication 800-161 Revision 1, National Institute of Standards and Technology, 2022. https://doi.org/10.6028/NIST.SP.800-161r1.</w:t>
      </w:r>
    </w:p>
    <w:p>
      <w:pPr>
        <w:spacing w:line="240" w:lineRule="auto" w:after="80"/>
        <w:ind w:left="576" w:hanging="576"/>
      </w:pPr>
      <w:r>
        <w:t>[26] European Parliament and Council, Regulation (EU) 2023/1542 concerning batteries and waste batteries, Off. J. Eur. Union L191 (2023) 1-117. http://data.europa.eu/eli/reg/2023/1542/oj.</w:t>
      </w:r>
    </w:p>
    <w:p>
      <w:pPr>
        <w:spacing w:line="240" w:lineRule="auto" w:after="80"/>
        <w:ind w:left="576" w:hanging="576"/>
      </w:pPr>
      <w:r>
        <w:t>[27] M. Casagrande, E. Losiouk, M. Conti, M. Payer, D. Antonioli, E-Trojans: ransomware, tracking, DoS, and data leaks on battery-powered embedded systems, arXiv:2411.17184 (2024). https://doi.org/10.48550/arXiv.2411.17184.</w:t>
      </w:r>
    </w:p>
    <w:p>
      <w:pPr>
        <w:spacing w:line="240" w:lineRule="auto" w:after="80"/>
        <w:ind w:left="576" w:hanging="576"/>
      </w:pPr>
      <w:r>
        <w:t>[28] A.B. Isik, T. Dag, K. Ozkan, E-scooter sharing platforms: understanding their architecture and cybersecurity threats, in: 2023 IEEE 26th International Conference on Intelligent Transportation Systems (ITSC), IEEE, 2023. https://doi.org/10.1109/ITSC57777.2023.10421849.</w:t>
      </w:r>
    </w:p>
    <w:p>
      <w:pPr>
        <w:spacing w:line="240" w:lineRule="auto" w:after="80"/>
        <w:ind w:left="576" w:hanging="576"/>
      </w:pPr>
      <w:r>
        <w:t>[29] N. Vinayaga-Sureshkanth, A. Maiti, M. Jadliwala, K. Crager, J. He, H. Rathore, Security and privacy challenges in upcoming intelligent urban micromobility transportation systems, in: Proceedings of the Second ACM Workshop on Automotive and Aerial Vehicle Security (AutoSec), ACM, 2020. https://doi.org/10.1145/3375706.3380559.</w:t>
      </w:r>
    </w:p>
    <w:p>
      <w:pPr>
        <w:spacing w:line="240" w:lineRule="auto" w:after="80"/>
        <w:ind w:left="576" w:hanging="576"/>
      </w:pPr>
      <w:r>
        <w:t>[30] S. Yilmaz, M.E. Karsligil, Analysis of location spoofing threats on e-scooter sharing, in: 2022 30th Signal Processing and Communications Applications Conference (SIU), IEEE, 2022. https://doi.org/10.1109/SIU55565.2022.9864946.</w:t>
      </w:r>
    </w:p>
    <w:p>
      <w:pPr>
        <w:spacing w:line="240" w:lineRule="auto" w:after="80"/>
        <w:ind w:left="576" w:hanging="576"/>
      </w:pPr>
      <w:r>
        <w:t>[31] K. Sato, N. Fukushima, K. Fujii, T. Kitani, Data acquisition framework for micromobility vehicles toward driving risk prediction, IEEE Secur. Priv. 23 (2025). https://doi.org/10.1109/MSEC.2024.3441731.</w:t>
      </w:r>
    </w:p>
    <w:p>
      <w:pPr>
        <w:spacing w:line="240" w:lineRule="auto" w:after="80"/>
        <w:ind w:left="576" w:hanging="576"/>
      </w:pPr>
      <w:r>
        <w:t>[32] Y. Li, X. Zhang, Linking privacy concerns for traceable information and information privacy protective responses, in: Proceedings of the 53rd Hawaii International Conference on System Sciences (HICSS), 2020. https://doi.org/10.24251/HICSS.2020.105.</w:t>
      </w:r>
    </w:p>
    <w:p>
      <w:pPr>
        <w:spacing w:line="240" w:lineRule="auto" w:after="80"/>
        <w:ind w:left="576" w:hanging="576"/>
      </w:pPr>
      <w:r>
        <w:t>[33] M.L. Petersen, Scoot over smart devices: the invisible costs of rental scooters, Surveill. Soc. 17 (2019) 267-273. https://doi.org/10.24908/ss.v17i1/2.13112.</w:t>
      </w:r>
    </w:p>
    <w:p>
      <w:pPr>
        <w:spacing w:line="240" w:lineRule="auto" w:after="80"/>
        <w:ind w:left="576" w:hanging="576"/>
      </w:pPr>
      <w:r>
        <w:t>[34] Y. Zhou, Data extraction in dockless bikeshare: an analysis from users' perspective, Big Data Soc. 11 (2024). https://doi.org/10.1177/20539517241299724.</w:t>
      </w:r>
    </w:p>
    <w:p>
      <w:pPr>
        <w:spacing w:line="240" w:lineRule="auto" w:after="80"/>
        <w:ind w:left="576" w:hanging="576"/>
      </w:pPr>
      <w:r>
        <w:t>[35] A. Hannemann, E. Buchholz, D. Ziegler, Is homomorphic encryption feasible for smart mobility?, in: Annals of Computer Science and Information Systems, vol. 35 (FedCSIS), 2023. https://doi.org/10.15439/2023F695.</w:t>
      </w:r>
    </w:p>
    <w:p>
      <w:pPr>
        <w:spacing w:line="240" w:lineRule="auto" w:after="80"/>
        <w:ind w:left="576" w:hanging="576"/>
      </w:pPr>
      <w:r>
        <w:t>[36] European Parliament and Council, Regulation (EU) 2016/679 (General Data Protection Regulation), Off. J. Eur. Union L119 (2016) 1-88. http://data.europa.eu/eli/reg/2016/679/oj.</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