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Editable tables</w:t>
      </w:r>
    </w:p>
    <w:p>
      <w:pPr>
        <w:spacing w:before="280" w:after="120"/>
      </w:pPr>
      <w:r>
        <w:rPr>
          <w:b/>
        </w:rPr>
        <w:t>Table 1. Eligibility criteria and data sources for the three study components.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Component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Unit of analysis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Inclusion criteria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Primary source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Scoping review (WP1)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Study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Peer-reviewed or archival works reporting a data path in or transferable to shared micromobility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Bibliographic search of 2,169 records [17,19]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audit (WP2)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System/feed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GBFS systems in the frozen registry with a reachable auto-discovery endpoint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systems catalogue and live feeds [18,20]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Disclosure audit (WP3)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document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Publicly reachable operator privacy notice for an audited GBFS operator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privacy notices; governance guidance [21,22]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2. Included direct studies (n = 18), ordered by evidence distance. Key results are as reported by the source; this review did not reproduce the underlying experiments.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Study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Evidence distance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Device or service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Reported key result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al. [10]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e-scooter ecosystem and Mi Home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Proprietary BLE protocol exploitable to steal or disable scooters and expose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Casagrande et al. [27]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Xiaomi M365 and ES3 e-scooters with companion app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Battery-powered embedded internals expose tracking, DoS, ransomware, and data-leak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Elzer et al. [2]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and e-bike systems (public provider feeds)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Public feed state changes reconstruct individual mobility patterns exploitable for stalking or burglary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Hilgert et al. [12]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rental apps (bikes and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apps retain recoverable movement and account artifacts of investigative value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al. [9]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D4 empirical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Mobile e-scooter rental applications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apps collect privacy-sensitive data as a functional requirement and embed third-party trackers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Hannemann et al. [35]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Smart-mobility platforms (incl. rental bikes, e-scooters)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Smart mobility shares sensitive personal data across parties; FHE mitigations remain costly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Isik et al. [28]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 (ESPs)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ESP architecture exposes resource abuse, DoS, and personal-data breach surfaces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 &amp; Zhang [32]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Traceable route information drives distinct privacy concern and protective responses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Petersen [33]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(Bird, Lime, Spin)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Rental scooters yield a uniquely identifying rider dataset that may be shared or sold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Sato et al. [31]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Micromobility vehicles (data-acquisition testbed)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 reproducible framework measures cyberphysical security-attack impact on micromobility vehicles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Vinayaga-Sureshkanth et al. [29]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Intelligent urban micromobility ecosystem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The vehicle-provider-rider ecosystem is an exploitable attack surface for security and privacy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&amp; Karsligil [30]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(GPS/Wi-Fi positioning)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Shared e-scooter positioning inherits known spoofing vulnerabilities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Yilmaz &amp; Karsligil [11]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sharing (geo-location services)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E-scooter positioning is vulnerable to spoofing affecting cost, reliability, and safety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Zhou [34]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D3 documentary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Dockless bikeshare platforms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Trajectory data extraction is core to bikeshare business models but poorly understood by users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Basic et al. [16]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management systems (EV batteries)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Regulated battery passports generate lifecycle data spanning use, second-life, and recycling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Joshi &amp; Raval [14]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Cloud storage media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Inadequate media sanitization leaves recoverable residual data via remanence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Liu et al. [13]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Used IoT devices (resale market)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Resold IoT devices frequently retain recoverable sensitive user data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Marchiori et al. [15]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D2 near-domain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Electric vehicles (battery side channel)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 side channels leak operational information without explicit location data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3. GBFS audit sampling and outcomes with 95% Wilson confidence intervals. Denominators are stated explicitly; unavailable or empty feeds are separated from absent fields.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Stratum / outcome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Denominator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Percent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95% CI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Reachable auto-discovery endpoint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1520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94.0%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92.6-95.0%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Vehicle-status feed declared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1297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1428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90.8%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89.2-92.2%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Retrieved feed with &gt;=1 vehicle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1155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1291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89.5%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87.7-91.0%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identifier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100.0%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99.5-100.0%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Latitude/longitude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808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99.4%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98.6-99.7%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Current range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802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98.7%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97.6-99.2%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Vehicle-specific rental link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643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79.1%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76.2-81.8%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Last-reported timestamp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629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77.4%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74.4-80.1%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Battery/fuel percentage (motorized feeds)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813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68.9%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65.6-72.0%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4. Disclosure-domain coding of public operator privacy notices (n = 13 coded operators). Counts of explicit, partial, and not-found codings per domain; not-found denotes document silence, not evidence that a practice is absent.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Disclosure domain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Explicit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Partial</w:t>
            </w:r>
          </w:p>
        </w:tc>
        <w:tc>
          <w:tcPr>
            <w:tcW w:type="dxa" w:w="23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Not found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Trip/time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Vehicle ID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Battery/diagnostic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8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Maintenance/repair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Account/payment/device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Analytics/profiling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Retention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Processors/contractors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Intl transfer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Data-subject rights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Incident contact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Vulnerability disclosure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Return/recycling/disposal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234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13</w:t>
            </w:r>
          </w:p>
        </w:tc>
      </w:tr>
    </w:tbl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before="280" w:after="120"/>
      </w:pPr>
      <w:r>
        <w:rPr>
          <w:b/>
        </w:rPr>
        <w:t>Table 5. Evidence-to-control traceability across the lifecycle model. Effectiveness evidence is stated conservatively; the proposed controls have not been empirically validated in this study.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left w:val="nil"/>
          <w:right w:val="nil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Lifecycle stage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Exposure path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Supporting evidence (distance)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Proposed control</w:t>
            </w:r>
          </w:p>
        </w:tc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Effectiveness evidence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Procurement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 and provenance terms set who can access backend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Governance guidance (N) [22,25]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Provenance and access clauses; data-processing terms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governance-based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Deployment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 configuration determines which fields are published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GBFS field presence (D4) [2,18]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 minimization; coarse or delayed positions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design-based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Identifiers, positions, and timestamps enable tracking and re-identification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Empirical audits (D4) [2,9]; mobility re-identification (D2) [1]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Local processing; access and retention limits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Partly supported by attack studies; controls 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Maintenance/service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Contractor access to devices and records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Forensic and platform studies (D3-D4) [12,28]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Controlled contractor access; audit logging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Recall/return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Returned units retain stored data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IoT reuse study (D2) [13]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Chain-of-custody for returned units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analogy-based</w:t>
            </w:r>
          </w:p>
        </w:tc>
      </w:tr>
      <w:tr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Second-life/disposal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Residual data on storage and batteries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Data remanence and battery side-channel (D2) [14-16]; sanitization guidance (N) [24]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Verified media sanitization before resale or recycling</w:t>
            </w:r>
          </w:p>
        </w:tc>
        <w:tc>
          <w:tcPr>
            <w:tcW w:type="dxa" w:w="187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validated; standards-based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