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2e3a42b29cd8eca677fe77a016f45663893970"/>
    <w:p>
      <w:pPr>
        <w:pStyle w:val="Heading1"/>
      </w:pPr>
      <w:r>
        <w:t xml:space="preserve">Core Protocol v1 — cross-system falsification framework</w:t>
      </w:r>
    </w:p>
    <w:p>
      <w:pPr>
        <w:pStyle w:val="FirstParagraph"/>
      </w:pPr>
      <w:r>
        <w:t xml:space="preserve">Status: v1 (frozen). Every study in this program (Phases 1–9 and future</w:t>
      </w:r>
      <w:r>
        <w:t xml:space="preserve"> </w:t>
      </w:r>
      <w:r>
        <w:t xml:space="preserve">phases/papers) MUST implement this protocol. The purpose is comparability:</w:t>
      </w:r>
      <w:r>
        <w:t xml:space="preserve"> </w:t>
      </w:r>
      <w:r>
        <w:t xml:space="preserve">as papers accumulate, the fixed items must not drift.</w:t>
      </w:r>
    </w:p>
    <w:p>
      <w:pPr>
        <w:pStyle w:val="BodyText"/>
      </w:pPr>
      <w:r>
        <w:t xml:space="preserve">A study is</w:t>
      </w:r>
      <w:r>
        <w:t xml:space="preserve"> </w:t>
      </w:r>
      <w:r>
        <w:t xml:space="preserve">“</w:t>
      </w:r>
      <w:r>
        <w:t xml:space="preserve">on-protocol</w:t>
      </w:r>
      <w:r>
        <w:t xml:space="preserve">”</w:t>
      </w:r>
      <w:r>
        <w:t xml:space="preserve"> </w:t>
      </w:r>
      <w:r>
        <w:t xml:space="preserve">iff it implements every FIXED item below, declares</w:t>
      </w:r>
      <w:r>
        <w:t xml:space="preserve"> </w:t>
      </w:r>
      <w:r>
        <w:t xml:space="preserve">every VARIABLE item explicitly in its analysis plan before results are</w:t>
      </w:r>
      <w:r>
        <w:t xml:space="preserve"> </w:t>
      </w:r>
      <w:r>
        <w:t xml:space="preserve">seen, and keeps honest nulls.</w:t>
      </w:r>
    </w:p>
    <w:p>
      <w:r>
        <w:pict>
          <v:rect style="width:0;height:1.5pt" o:hralign="center" o:hrstd="t" o:hr="t"/>
        </w:pict>
      </w:r>
    </w:p>
    <w:bookmarkStart w:id="27" w:name="fixed-items-identical-across-all-systems"/>
    <w:p>
      <w:pPr>
        <w:pStyle w:val="Heading2"/>
      </w:pPr>
      <w:r>
        <w:t xml:space="preserve">1. Fixed items (identical across all systems)</w:t>
      </w:r>
    </w:p>
    <w:bookmarkStart w:id="20" w:name="f1.-primary-contrast"/>
    <w:p>
      <w:pPr>
        <w:pStyle w:val="Heading3"/>
      </w:pPr>
      <w:r>
        <w:t xml:space="preserve">F1. Primary contrast</w:t>
      </w:r>
    </w:p>
    <w:p>
      <w:pPr>
        <w:pStyle w:val="FirstParagraph"/>
      </w:pPr>
      <w:r>
        <w:t xml:space="preserve">Every study has exactly ONE pre-declared primary contrast: the target</w:t>
      </w:r>
      <w:r>
        <w:t xml:space="preserve"> </w:t>
      </w:r>
      <w:r>
        <w:t xml:space="preserve">out-of-sample skill of a history/state-bearing model minus that of its</w:t>
      </w:r>
      <w:r>
        <w:t xml:space="preserve"> </w:t>
      </w:r>
      <w:r>
        <w:t xml:space="preserve">matched environment-only (or process-only) baseline, evaluated on</w:t>
      </w:r>
      <w:r>
        <w:t xml:space="preserve"> </w:t>
      </w:r>
      <w:r>
        <w:t xml:space="preserve">identical observations.</w:t>
      </w:r>
    </w:p>
    <w:p>
      <w:pPr>
        <w:numPr>
          <w:ilvl w:val="0"/>
          <w:numId w:val="1001"/>
        </w:numPr>
        <w:pStyle w:val="Compact"/>
      </w:pPr>
      <w:r>
        <w:t xml:space="preserve">Form:</w:t>
      </w:r>
      <w:r>
        <w:t xml:space="preserve"> </w:t>
      </w:r>
      <w:r>
        <w:rPr>
          <w:rStyle w:val="VerbatimChar"/>
        </w:rPr>
        <w:t xml:space="preserve">HG = OOS(target model) − OOS(reference model)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Both models must be evaluated on the SAME evaluation sample — asserted</w:t>
      </w:r>
      <w:r>
        <w:t xml:space="preserve"> </w:t>
      </w:r>
      <w:r>
        <w:t xml:space="preserve">programmatically, not assumed.</w:t>
      </w:r>
    </w:p>
    <w:p>
      <w:pPr>
        <w:numPr>
          <w:ilvl w:val="0"/>
          <w:numId w:val="1001"/>
        </w:numPr>
        <w:pStyle w:val="Compact"/>
      </w:pPr>
      <w:r>
        <w:t xml:space="preserve">No secondary contrast may silently replace the primary one; additional</w:t>
      </w:r>
      <w:r>
        <w:t xml:space="preserve"> </w:t>
      </w:r>
      <w:r>
        <w:t xml:space="preserve">contrasts are labelled secondary/exploratory.</w:t>
      </w:r>
    </w:p>
    <w:bookmarkEnd w:id="20"/>
    <w:bookmarkStart w:id="21" w:name="f2.-effect-direction"/>
    <w:p>
      <w:pPr>
        <w:pStyle w:val="Heading3"/>
      </w:pPr>
      <w:r>
        <w:t xml:space="preserve">F2. Effect direction</w:t>
      </w:r>
    </w:p>
    <w:p>
      <w:pPr>
        <w:pStyle w:val="FirstParagraph"/>
      </w:pPr>
      <w:r>
        <w:t xml:space="preserve">The sign convention and the pre-registered direction of the effect under</w:t>
      </w:r>
      <w:r>
        <w:t xml:space="preserve"> </w:t>
      </w:r>
      <w:r>
        <w:t xml:space="preserve">the hypothesis are fixed before analysis:</w:t>
      </w:r>
    </w:p>
    <w:p>
      <w:pPr>
        <w:numPr>
          <w:ilvl w:val="0"/>
          <w:numId w:val="1002"/>
        </w:numPr>
        <w:pStyle w:val="Compact"/>
      </w:pPr>
      <w:r>
        <w:t xml:space="preserve">Under the memory/persistence hypothesis: HG &gt; 0 (history helps beyond</w:t>
      </w:r>
      <w:r>
        <w:t xml:space="preserve"> </w:t>
      </w:r>
      <w:r>
        <w:t xml:space="preserve">environment).</w:t>
      </w:r>
    </w:p>
    <w:p>
      <w:pPr>
        <w:numPr>
          <w:ilvl w:val="0"/>
          <w:numId w:val="1002"/>
        </w:numPr>
        <w:pStyle w:val="Compact"/>
      </w:pPr>
      <w:r>
        <w:t xml:space="preserve">Under the falsification/null expectation: HG ≈ 0 or explained by</w:t>
      </w:r>
      <w:r>
        <w:t xml:space="preserve"> </w:t>
      </w:r>
      <w:r>
        <w:t xml:space="preserve">confounds.</w:t>
      </w:r>
    </w:p>
    <w:p>
      <w:pPr>
        <w:numPr>
          <w:ilvl w:val="0"/>
          <w:numId w:val="1002"/>
        </w:numPr>
        <w:pStyle w:val="Compact"/>
      </w:pPr>
      <w:r>
        <w:t xml:space="preserve">Reversing the sign convention after seeing results is prohibited.</w:t>
      </w:r>
    </w:p>
    <w:bookmarkEnd w:id="21"/>
    <w:bookmarkStart w:id="22" w:name="f3.-sampling-pool-test"/>
    <w:p>
      <w:pPr>
        <w:pStyle w:val="Heading3"/>
      </w:pPr>
      <w:r>
        <w:t xml:space="preserve">F3. Sampling-pool test</w:t>
      </w:r>
    </w:p>
    <w:p>
      <w:pPr>
        <w:pStyle w:val="FirstParagraph"/>
      </w:pPr>
      <w:r>
        <w:t xml:space="preserve">Every estimate must be computed on a well-defined observation universe:</w:t>
      </w:r>
      <w:r>
        <w:t xml:space="preserve"> </w:t>
      </w:r>
      <w:r>
        <w:t xml:space="preserve">the set of (site, time) units actually sampled — never inferred absences</w:t>
      </w:r>
      <w:r>
        <w:t xml:space="preserve"> </w:t>
      </w:r>
      <w:r>
        <w:t xml:space="preserve">from missing sampling. Specifically: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surveyed-present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surveyed-absent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not-surveyed</w:t>
      </w:r>
      <w:r>
        <w:t xml:space="preserve"> </w:t>
      </w:r>
      <w:r>
        <w:t xml:space="preserve">are three distinct</w:t>
      </w:r>
      <w:r>
        <w:t xml:space="preserve"> </w:t>
      </w:r>
      <w:r>
        <w:t xml:space="preserve">states;</w:t>
      </w:r>
      <w:r>
        <w:t xml:space="preserve"> </w:t>
      </w:r>
      <w:r>
        <w:rPr>
          <w:rStyle w:val="VerbatimChar"/>
        </w:rPr>
        <w:t xml:space="preserve">not-surveyed</w:t>
      </w:r>
      <w:r>
        <w:t xml:space="preserve"> </w:t>
      </w:r>
      <w:r>
        <w:t xml:space="preserve">is never coded as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Denominators (prevalence, occupancy, coverage) use sampled units only.</w:t>
      </w:r>
    </w:p>
    <w:p>
      <w:pPr>
        <w:numPr>
          <w:ilvl w:val="0"/>
          <w:numId w:val="1003"/>
        </w:numPr>
        <w:pStyle w:val="Compact"/>
      </w:pPr>
      <w:r>
        <w:t xml:space="preserve">Response and predictor construction must be verified against the raw</w:t>
      </w:r>
      <w:r>
        <w:t xml:space="preserve"> </w:t>
      </w:r>
      <w:r>
        <w:t xml:space="preserve">sampling table, not assumed from data layout.</w:t>
      </w:r>
    </w:p>
    <w:bookmarkEnd w:id="22"/>
    <w:bookmarkStart w:id="23" w:name="f4.-time-aggregation-test"/>
    <w:p>
      <w:pPr>
        <w:pStyle w:val="Heading3"/>
      </w:pPr>
      <w:r>
        <w:t xml:space="preserve">F4. Time-aggregation test</w:t>
      </w:r>
    </w:p>
    <w:p>
      <w:pPr>
        <w:pStyle w:val="FirstParagraph"/>
      </w:pPr>
      <w:r>
        <w:t xml:space="preserve">Every claim of temporal dynamics must survive a change of temporal grain:</w:t>
      </w:r>
      <w:r>
        <w:t xml:space="preserve"> </w:t>
      </w:r>
      <w:r>
        <w:t xml:space="preserve">report the primary contrast at the native resolution AND at least one</w:t>
      </w:r>
      <w:r>
        <w:t xml:space="preserve"> </w:t>
      </w:r>
      <w:r>
        <w:t xml:space="preserve">coarser aggregation (e.g., site-level → regional, weekly → annual), or</w:t>
      </w:r>
      <w:r>
        <w:t xml:space="preserve"> </w:t>
      </w:r>
      <w:r>
        <w:t xml:space="preserve">document explicitly why aggregation is not possible.</w:t>
      </w:r>
    </w:p>
    <w:bookmarkEnd w:id="23"/>
    <w:bookmarkStart w:id="24" w:name="Xe931e0a8959d148f55af9a2350992b58b349f25"/>
    <w:p>
      <w:pPr>
        <w:pStyle w:val="Heading3"/>
      </w:pPr>
      <w:r>
        <w:t xml:space="preserve">F5. Distance-decay (spatial structure test)</w:t>
      </w:r>
    </w:p>
    <w:p>
      <w:pPr>
        <w:pStyle w:val="FirstParagraph"/>
      </w:pPr>
      <w:r>
        <w:t xml:space="preserve">Every study must separate spatially-structured persistence from temporal</w:t>
      </w:r>
      <w:r>
        <w:t xml:space="preserve"> </w:t>
      </w:r>
      <w:r>
        <w:t xml:space="preserve">history:</w:t>
      </w:r>
    </w:p>
    <w:p>
      <w:pPr>
        <w:numPr>
          <w:ilvl w:val="0"/>
          <w:numId w:val="1004"/>
        </w:numPr>
        <w:pStyle w:val="Compact"/>
      </w:pPr>
      <w:r>
        <w:t xml:space="preserve">Compute the primary contrast with and without a static spatial control</w:t>
      </w:r>
      <w:r>
        <w:t xml:space="preserve"> </w:t>
      </w:r>
      <w:r>
        <w:t xml:space="preserve">(site demeaning / site fixed effects / static suitability surface).</w:t>
      </w:r>
    </w:p>
    <w:p>
      <w:pPr>
        <w:numPr>
          <w:ilvl w:val="0"/>
          <w:numId w:val="1004"/>
        </w:numPr>
        <w:pStyle w:val="Compact"/>
      </w:pPr>
      <w:r>
        <w:t xml:space="preserve">State the proportion of apparent temporal signal attributable to static</w:t>
      </w:r>
      <w:r>
        <w:t xml:space="preserve"> </w:t>
      </w:r>
      <w:r>
        <w:t xml:space="preserve">spatial structure.</w:t>
      </w:r>
    </w:p>
    <w:bookmarkEnd w:id="24"/>
    <w:bookmarkStart w:id="25" w:name="f6.-negative-control"/>
    <w:p>
      <w:pPr>
        <w:pStyle w:val="Heading3"/>
      </w:pPr>
      <w:r>
        <w:t xml:space="preserve">F6. Negative control</w:t>
      </w:r>
    </w:p>
    <w:p>
      <w:pPr>
        <w:pStyle w:val="FirstParagraph"/>
      </w:pPr>
      <w:r>
        <w:t xml:space="preserve">At least one negative control per study, from a fixed menu:</w:t>
      </w:r>
    </w:p>
    <w:p>
      <w:pPr>
        <w:numPr>
          <w:ilvl w:val="0"/>
          <w:numId w:val="1005"/>
        </w:numPr>
        <w:pStyle w:val="Compact"/>
      </w:pPr>
      <w:r>
        <w:t xml:space="preserve">future-predictor control (predicting the past / shifted labels),</w:t>
      </w:r>
    </w:p>
    <w:p>
      <w:pPr>
        <w:numPr>
          <w:ilvl w:val="0"/>
          <w:numId w:val="1005"/>
        </w:numPr>
        <w:pStyle w:val="Compact"/>
      </w:pPr>
      <w:r>
        <w:t xml:space="preserve">randomized spatial labels,</w:t>
      </w:r>
    </w:p>
    <w:p>
      <w:pPr>
        <w:numPr>
          <w:ilvl w:val="0"/>
          <w:numId w:val="1005"/>
        </w:numPr>
        <w:pStyle w:val="Compact"/>
      </w:pPr>
      <w:r>
        <w:t xml:space="preserve">simulated null data through the identical pipeline (environment-only,</w:t>
      </w:r>
      <w:r>
        <w:t xml:space="preserve"> </w:t>
      </w:r>
      <w:r>
        <w:t xml:space="preserve">static-persistence, observation-persistence scenarios),</w:t>
      </w:r>
    </w:p>
    <w:p>
      <w:pPr>
        <w:numPr>
          <w:ilvl w:val="0"/>
          <w:numId w:val="1005"/>
        </w:numPr>
        <w:pStyle w:val="Compact"/>
      </w:pPr>
      <w:r>
        <w:t xml:space="preserve">unrelated-guild / placebo contrast.</w:t>
      </w:r>
    </w:p>
    <w:bookmarkEnd w:id="25"/>
    <w:bookmarkStart w:id="26" w:name="f7.-robustness-classification"/>
    <w:p>
      <w:pPr>
        <w:pStyle w:val="Heading3"/>
      </w:pPr>
      <w:r>
        <w:t xml:space="preserve">F7. Robustness classification</w:t>
      </w:r>
    </w:p>
    <w:p>
      <w:pPr>
        <w:pStyle w:val="FirstParagraph"/>
      </w:pPr>
      <w:r>
        <w:t xml:space="preserve">Every claim is labelled: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ROBUST</w:t>
      </w:r>
      <w:r>
        <w:t xml:space="preserve"> </w:t>
      </w:r>
      <w:r>
        <w:t xml:space="preserve">— survives all fixed checks with consistent sign/magnitude.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WEAK</w:t>
      </w:r>
      <w:r>
        <w:t xml:space="preserve"> </w:t>
      </w:r>
      <w:r>
        <w:t xml:space="preserve">— survives some checks, bounded by identified limits.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NULL</w:t>
      </w:r>
      <w:r>
        <w:t xml:space="preserve"> </w:t>
      </w:r>
      <w:r>
        <w:t xml:space="preserve">— consistent with a declared null mechanism.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UNSUPPORTED</w:t>
      </w:r>
      <w:r>
        <w:t xml:space="preserve"> </w:t>
      </w:r>
      <w:r>
        <w:t xml:space="preserve">— contradicted by the fixed checks.</w:t>
      </w:r>
    </w:p>
    <w:p>
      <w:pPr>
        <w:pStyle w:val="FirstParagraph"/>
      </w:pPr>
      <w:r>
        <w:t xml:space="preserve">Robustness labels are assigned by the protocol, not ad hoc per paper.</w:t>
      </w:r>
    </w:p>
    <w:bookmarkEnd w:id="26"/>
    <w:bookmarkEnd w:id="27"/>
    <w:bookmarkStart w:id="28" w:name="X897a02eb54535ce7e75db0d83651940444e81bf"/>
    <w:p>
      <w:pPr>
        <w:pStyle w:val="Heading2"/>
      </w:pPr>
      <w:r>
        <w:t xml:space="preserve">2. Variable items (system-specific; must be declared a priori)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 Database /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survey or tracking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BBS routes, NEON plots, Movebank GPS, FOSS trawls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 Spatial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 of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BBS route, NEON grid cell, GPS fix, trawl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 Temporal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grain of the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(BBS), monthly (NEON), GPS fixes (min–hourly)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 Observation-process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detection/effort/observer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 covariates, imperfect-detection terms, effort offsets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 Guild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grouping / inclusion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prevalence threshold ≥0.30 on surveyed route-years; migratory class</w:t>
            </w:r>
          </w:p>
        </w:tc>
      </w:tr>
    </w:tbl>
    <w:p>
      <w:pPr>
        <w:pStyle w:val="BodyText"/>
      </w:pPr>
      <w:r>
        <w:t xml:space="preserve">Variable items may differ across systems; once declared for a given phase</w:t>
      </w:r>
      <w:r>
        <w:t xml:space="preserve"> </w:t>
      </w:r>
      <w:r>
        <w:t xml:space="preserve">they are frozen for that phase.</w:t>
      </w:r>
    </w:p>
    <w:bookmarkEnd w:id="28"/>
    <w:bookmarkStart w:id="29" w:name="process-rules-fixed"/>
    <w:p>
      <w:pPr>
        <w:pStyle w:val="Heading2"/>
      </w:pPr>
      <w:r>
        <w:t xml:space="preserve">3. Process rules (fixed)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Pre-registration discipline</w:t>
      </w:r>
      <w:r>
        <w:t xml:space="preserve">: analysis plan (models, contrasts,</w:t>
      </w:r>
      <w:r>
        <w:t xml:space="preserve"> </w:t>
      </w:r>
      <w:r>
        <w:t xml:space="preserve">controls, GO/NO-GO thresholds) written before results are examined.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GO/NO-GO verdicts</w:t>
      </w:r>
      <w:r>
        <w:t xml:space="preserve"> </w:t>
      </w:r>
      <w:r>
        <w:t xml:space="preserve">per phase; honest nulls are valued equally with</w:t>
      </w:r>
      <w:r>
        <w:t xml:space="preserve"> </w:t>
      </w:r>
      <w:r>
        <w:t xml:space="preserve">positive results.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spec changes to rescue a conclusion.</w:t>
      </w:r>
      <w:r>
        <w:t xml:space="preserve"> </w:t>
      </w:r>
      <w:r>
        <w:t xml:space="preserve">Specification changes may</w:t>
      </w:r>
      <w:r>
        <w:t xml:space="preserve"> </w:t>
      </w:r>
      <w:r>
        <w:t xml:space="preserve">only fix bugs; every bug fix triggers a pre/post impact audit.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fabricated data; no hardcoded results.</w:t>
      </w:r>
      <w:r>
        <w:t xml:space="preserve"> </w:t>
      </w:r>
      <w:r>
        <w:t xml:space="preserve">All manuscript numbers are</w:t>
      </w:r>
      <w:r>
        <w:t xml:space="preserve"> </w:t>
      </w:r>
      <w:r>
        <w:t xml:space="preserve">regenerated from pipeline outputs (results CSVs → docx builder).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Forward-chaining is the primary inference</w:t>
      </w:r>
      <w:r>
        <w:t xml:space="preserve"> </w:t>
      </w:r>
      <w:r>
        <w:t xml:space="preserve">for any temporal claim;</w:t>
      </w:r>
      <w:r>
        <w:t xml:space="preserve"> </w:t>
      </w:r>
      <w:r>
        <w:t xml:space="preserve">random CV is prohibited for the primary contrast.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Train-only preprocessing</w:t>
      </w:r>
      <w:r>
        <w:t xml:space="preserve">: all scaling/centring/imputation parameters</w:t>
      </w:r>
      <w:r>
        <w:t xml:space="preserve"> </w:t>
      </w:r>
      <w:r>
        <w:t xml:space="preserve">estimated on training folds only.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Branch-per-phase, PR-per-phase</w:t>
      </w:r>
      <w:r>
        <w:t xml:space="preserve">; prior phases are frozen once their</w:t>
      </w:r>
      <w:r>
        <w:t xml:space="preserve"> </w:t>
      </w:r>
      <w:r>
        <w:t xml:space="preserve">PR is opened.</w:t>
      </w:r>
    </w:p>
    <w:bookmarkEnd w:id="29"/>
    <w:bookmarkStart w:id="30" w:name="X7df31b0070cff0327f34f37ed5912f479ae7cdb"/>
    <w:p>
      <w:pPr>
        <w:pStyle w:val="Heading2"/>
      </w:pPr>
      <w:r>
        <w:t xml:space="preserve">4. Instantiation example — Phase 9 / GEB manuscript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Phase-9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primary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HG = OOS(env+lag-1 state) − OOS(env); common eval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HG &gt; 0 = history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pre-analysis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 sampling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surveyed/present/absent/not-surveyed; surveyed-denominator 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(post-bugfix)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 time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route-level → state-level regional HG (→ −0.04, not retained)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distance-decay/static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LOYO/forward × demean/none; demeaning collapses HG 0.30→0.006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 negative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scenarios env-only/static/obs-persistence/true-history; observer covariates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HG_D weak-positive (WEAK); occupancy hysteresis UNSUPPORTED; regional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BBS 1966–2019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BBS route-year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 covariates; surveyed-only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nz_frac ≥ 0.30 → 116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0"/>
    <w:bookmarkStart w:id="31" w:name="change-control"/>
    <w:p>
      <w:pPr>
        <w:pStyle w:val="Heading2"/>
      </w:pPr>
      <w:r>
        <w:t xml:space="preserve">5. Change control</w:t>
      </w:r>
    </w:p>
    <w:p>
      <w:pPr>
        <w:numPr>
          <w:ilvl w:val="0"/>
          <w:numId w:val="1008"/>
        </w:numPr>
        <w:pStyle w:val="Compact"/>
      </w:pPr>
      <w:r>
        <w:t xml:space="preserve">Protocol text may only change by a dedicated PR labelled</w:t>
      </w:r>
      <w:r>
        <w:t xml:space="preserve"> </w:t>
      </w:r>
      <w:r>
        <w:rPr>
          <w:rStyle w:val="VerbatimChar"/>
        </w:rPr>
        <w:t xml:space="preserve">protocol-change</w:t>
      </w:r>
      <w:r>
        <w:t xml:space="preserve">, with a changelog entry here and a stated reason.</w:t>
      </w:r>
    </w:p>
    <w:p>
      <w:pPr>
        <w:numPr>
          <w:ilvl w:val="0"/>
          <w:numId w:val="1008"/>
        </w:numPr>
        <w:pStyle w:val="Compact"/>
      </w:pPr>
      <w:r>
        <w:t xml:space="preserve">Changes that would retroactively alter a finished phase’s verdict are</w:t>
      </w:r>
      <w:r>
        <w:t xml:space="preserve"> </w:t>
      </w:r>
      <w:r>
        <w:t xml:space="preserve">prohibited; they apply to future phases only.</w:t>
      </w:r>
    </w:p>
    <w:p>
      <w:pPr>
        <w:pStyle w:val="FirstParagraph"/>
      </w:pPr>
      <w:r>
        <w:t xml:space="preserve">Changelog:</w:t>
      </w:r>
      <w:r>
        <w:t xml:space="preserve"> </w:t>
      </w:r>
      <w:r>
        <w:t xml:space="preserve">- v1 (2026-09-21): initial freeze; fixed items F1–F7, variable items V1–V5,</w:t>
      </w:r>
      <w:r>
        <w:t xml:space="preserve"> </w:t>
      </w:r>
      <w:r>
        <w:t xml:space="preserve">process rules, Phase-9 instantiation.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2026-09-21T13:04:20Z</dcterms:created>
  <dcterms:modified xsi:type="dcterms:W3CDTF">2026-09-21T13:04:20Z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