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/>
    <w:p>
      <w:pPr>
        <w:pStyle w:val="ListBullet"/>
      </w:pPr>
      <w:r>
        <w:rPr>
          <w:rFonts w:ascii="Times New Roman" w:hAnsi="Times New Roman"/>
          <w:sz w:val="24"/>
        </w:rPr>
        <w:t>Uniform fees and regional audits separate structural and administrative variation.</w:t>
      </w:r>
    </w:p>
    <w:p>
      <w:pPr>
        <w:pStyle w:val="ListBullet"/>
      </w:pPr>
      <w:r>
        <w:rPr>
          <w:rFonts w:ascii="Times New Roman" w:hAnsi="Times New Roman"/>
          <w:sz w:val="24"/>
        </w:rPr>
        <w:t>Anaesthesia practice variation is linked to university-hospital access, not auditing.</w:t>
      </w:r>
    </w:p>
    <w:p>
      <w:pPr>
        <w:pStyle w:val="ListBullet"/>
      </w:pPr>
      <w:r>
        <w:rPr>
          <w:rFonts w:ascii="Times New Roman" w:hAnsi="Times New Roman"/>
          <w:sz w:val="24"/>
        </w:rPr>
        <w:t>University hospital presence accounts for 35.8% of general-anaesthesia variance.</w:t>
      </w:r>
    </w:p>
    <w:p>
      <w:pPr>
        <w:pStyle w:val="ListBullet"/>
      </w:pPr>
      <w:r>
        <w:rPr>
          <w:rFonts w:ascii="Times New Roman" w:hAnsi="Times New Roman"/>
          <w:sz w:val="24"/>
        </w:rPr>
        <w:t>Audit-related ratio shifts account for &lt;1% of the observed interquartile range.</w:t>
      </w:r>
    </w:p>
    <w:p>
      <w:pPr>
        <w:pStyle w:val="ListBullet"/>
      </w:pPr>
      <w:r>
        <w:rPr>
          <w:rFonts w:ascii="Times New Roman" w:hAnsi="Times New Roman"/>
          <w:sz w:val="24"/>
        </w:rPr>
        <w:t>Transferable to UHC systems with uniform fees and regional audits.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