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4"/>
        </w:rPr>
        <w:t>Table 1. Distribution of standardised claim ratios across 335 secondary medical areas,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(SD)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Median (IQR)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CV (%)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79.7 (42.8)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73.5 (50.0–103.0)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435.7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53.7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307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95.6 (83.4)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76.6 (31.2–133.4)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519.1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83.5 (54.3)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73.4 (45.0–117.0)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443.0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65.0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93.8 (53.3)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84.6 (55.8–127.4)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346.5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56.8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National average = 100. SD, standard deviation; IQR, interquartile range; CV, coefficient of variation. L008 = closed-circuit general anaesthesia; L002 = epidural anaesthesia as main technique; L003 = continuous epidural infusion, largely billed as an adjunct to general anaesthesia; L004 = spinal anaesthesia. Areas with low claim volume are masked by the data provider and appear as missing values; the n column reflects the number of secondary medical areas with non-missing values for each code.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2. Multilevel model results: standardised claim ratio as outcome, prefecture as random intercept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Null model ICC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β university (95% CI)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 value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Proportional reduction in total variance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0.058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+64.1 (54.8 to 73.4)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0.358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0.191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+49.0 (27.2 to 70.8)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0.125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0.106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+55.8 (43.0 to 68.7)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0.162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0.343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+23.0 (11.0 to 35.1)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0.020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β university, fixed effect coefficient for university hospital presence (binary 0/1); CI, confidence interval; ICC, intraclass correlation coefficient; proportional reduction in total variance, decrease in total (prefecture + residual) variance after adding the university hospital fixed effect.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