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Editor-in-Chief</w:t>
        <w:br/>
        <w:t>Pattern Recognition</w:t>
        <w:br/>
        <w:t>Elsevier</w:t>
      </w:r>
    </w:p>
    <w:p>
      <w:r>
        <w:t>Dear Editor,</w:t>
      </w:r>
    </w:p>
    <w:p>
      <w:r>
        <w:t>I submit for consideration as a regular paper the manuscript entitled "Self-calibrating unsupervised anomaly detection in sparse event streams: replacing designer-chosen time scales with data-native scales".</w:t>
      </w:r>
    </w:p>
    <w:p>
      <w:r>
        <w:t>The paper addresses an unsupervised anomaly-detection problem on sparse, asynchronous event streams: separating a few structured events from a per-pixel Poisson background whose rate must be learned from the stream itself. Its argument runs in three steps. First, the detector on its own, with no prior knowledge of the stream: an event-driven Poisson likelihood-ratio test whose output is a calibrated probability, so that a stated false-alarm budget is met without labels. On all 43 labelled recordings of the public EBSSA dataset (two sensor models), against 16 unsupervised comparators with grouped cross-validated tuning, two supervised networks and a released supervised denoiser (AEDNet) applied unchanged, the untuned detector reaches a mean ROC-AUC of 0.753, below the best label-tuned filter (0.844) and the supervised networks, and above the released network (0.686). Second, the detector as a source of parameters: because its window is stated as an expected background count it transfers between sensor models where a window in milliseconds does not, and handed to the heuristic filter YNoise as its time constant it recovers 99.7% of the accuracy that filter otherwise needs labelled tuning to reach; a screen-then-confirm cascade improves on both. The point is general: the fixed constants of event filters encode a scale chosen by the designer for one sensor, and replacing that scale with one the stream itself supplies is what makes the setting portable. Third, the regime in which either helps: on an independent public benchmark recorded with a third sensor (DND21, 80 mixtures with exact origin labels), dominated by dense scenes close to the training distribution of the released network, the detector reaches only 0.755 against 0.888 for the default filter and 0.847 for AEDNet, and the hand-over helps only on the sparse scenes. I report this negative result in full and use it to bound the method: a label-free calibrator and parameter source for sparse, transient streams, not a general event denoiser. I believe this framing, and the explicit statement of where an unsupervised parametric model does and does not help, is of interest to the pattern-recognition community beyond event cameras.</w:t>
      </w:r>
    </w:p>
    <w:p>
      <w:r>
        <w:t>Fit to Pattern Recognition: the manuscript proposes and evaluates an unsupervised detection method with an explicit statistical model, a calibration procedure and a cross-dataset generalisation study, and it documents the feasibility of recent learning-based comparators under a common protocol. The Discussion states where we would and would not use the method (label-free commissioning of a new sensor, faint moving sources such as resident space objects, a first setting for an existing filter; not dense or dwelling scenes).</w:t>
      </w:r>
    </w:p>
    <w:p>
      <w:r>
        <w:t>The manuscript has not been published and is not under consideration by any other journal.</w:t>
      </w:r>
    </w:p>
    <w:p>
      <w:r>
        <w:t>All analysis and manuscript-generation code, the result files from which every number, table and figure is generated, and a one-command build are provided in the repository named in the Data availability statement, together with a statement of which result files re-run end-to-end from the public data. I am the sole author and have no competing interests to declare.</w:t>
      </w:r>
    </w:p>
    <w:p>
      <w:r>
        <w:t>Suggested reviewers: [to be completed by the author].</w:t>
      </w:r>
    </w:p>
    <w:p>
      <w:r>
        <w:t>Yours sincerely,</w:t>
      </w:r>
    </w:p>
    <w:p>
      <w:r>
        <w:t>Tatsuki Onishi</w:t>
        <w:br/>
        <w:t>Data Science and AI Innovation Research Promotion Center, Shiga University, Hikone, Japan</w:t>
        <w:br/>
        <w:t>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