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Figure legends</w:t>
      </w:r>
    </w:p>
    <w:p>
      <w:r>
        <w:t>Fig. 1. Event-driven Poisson likelihood-ratio detector. Each event is scored from the estimated background rate of its neighbourhood and the number of events that arrived in that neighbourhood during the preceding window W, which is stated as an expected background count k rather than a fixed number of milliseconds; the tail probability is used directly as the noise probability. Blue boxes: what the stream itself delivers without labels, the operating point at a requested false-alarm rate, a window W that carries across sensor models and can set the time constant of another filter, and a per-event cost without a voxel grid.</w:t>
      </w:r>
    </w:p>
    <w:p>
      <w:r>
        <w:t>Fig. 2. Mean ROC-AUC with SD over the 43 EBSSA recordings for all methods in Table 1. Bars: configuration tuned on labels by grouped cross-validation (supervised networks: trained). Open circles: the same method at one fixed configuration chosen without labels (published default; deployment configuration of the proposal), where one exists. Dashed line: the proposed rate-adaptive detector without labels; dotted line: chance. Colours group the proposed method, published unsupervised event filters, event-driven ablations, frame-based and label-free learned ablations, and supervised networks.</w:t>
      </w:r>
    </w:p>
    <w:p>
      <w:r>
        <w:t>Fig. 3. Per-recording ROC-AUC of the proposed detector against (a) the event bilateral filter, (b) YNoise, (c) its voxelised, frame-based form and (d) the supervised MLPF-style network. Circles: 180 x 240-pixel sensor; squares: 240 x 304-pixel sensor. Points above the diagonal favour the proposed detector. ΔAUC and Holm-adjusted p refer to the paired Wilcoxon test over 43 recordings.</w:t>
      </w:r>
    </w:p>
    <w:p>
      <w:r>
        <w:t>Fig. 4. Self-calibrated operating points and low-false-positive performance on EBSSA. (a) Median achieved false-positive rate on background events against the requested budget α when each score is cut at its own α-quantile (Eq. (5)); dotted line: ideal calibration. (b) Median detection rate of object events at the same budgets. (c) Standardised partial AUC below false-positive rates of 0.01 and 0.001 (0.5 is chance).</w:t>
      </w:r>
    </w:p>
    <w:p>
      <w:r>
        <w:t>Fig. 5. Zero-knowledge deployment on EBSSA. (a) Mean AUC (red) and median fraction of saturated scores (grey) of the rate-adaptive proposal against the dimensionless window k on the two sensor models; dotted line: deployment value. (b) AUC lost when the configuration selected on one sensor is applied to the other. (c) Median achieved false-positive rate on the target sensor with a threshold carried over from the other sensor (dashed) and recalibrated on the target stream without labels (solid); dotted line: ideal calibration.</w:t>
      </w:r>
    </w:p>
    <w:p>
      <w:r>
        <w:t>Fig. 6. Parameter hand-over and two-stage cascade on EBSSA. (a) Mean AUC of the zero-knowledge proposal, of YNoise at its published default and of YNoise with dt set to the rate-adaptive window W handed over from the proposal, pooled and per sensor model; dotted line: YNoise with label-tuned cross-validation (Table 1). (b) Mean AUC of the two-stage score against the fraction of the stream passed by stage 1, with stage 2 parameterised by the hand-over, the published default and a pseudo-label choice; dashed line: stage 1 alone; black squares (right axis): median stage-2 time relative to YNoise on the whole stream.</w:t>
      </w:r>
    </w:p>
    <w:p>
      <w:r>
        <w:t>Fig. 7. DND21 evaluation on 80 mixtures recorded with a third sensor (DAVIS346). (a) Mean ROC-AUC with SD for every configuration of Table 4, grouped by how the parameters were obtained: without labels or tuning on DND21, by nested leave-one-scene-out selection, or by supervised training on the other scenes. (b) Mean AUC with SD of the label-free path (zero-knowledge proposal, YNoise at its default, YNoise with the handed-over window) against the measured-noise condition; the nominal per-pixel rate of the thinned dark recording is given, and "light (native)" is the unthinned recording under uniform illumination.</w:t>
      </w:r>
    </w:p>
    <w:p>
      <w:r>
        <w:rPr>
          <w:b/>
        </w:rPr>
        <w:t>Supplementary figures</w:t>
      </w:r>
    </w:p>
    <w:p>
      <w:r>
        <w:t>Fig. S1. Computational cost as the real EBSSA stream is thinned. (a) Wall-clock time per recording and (b) time per event, medians over 3 repeats, against the fraction of events kept (array and recording interval unchanged). Solid lines: event-driven methods; dashed lines: frame- or voxel-based methods. Legend entries give the fitted cost exponent β of Eq. (7).</w:t>
      </w:r>
    </w:p>
    <w:p>
      <w:r>
        <w:t>Fig. S2. The same two EBSSA recordings processed by every stage. Rows: one recording per sensor model (SL8RB_1957_davis_td, canopus_leos_11_26_atis_td), the recording whose stage-1 AUC is closest to the median of that sensor, with its rate-adaptive window W. Columns: all events; events inside the annotated object boxes; events passed at a requested false-alarm rate of 0.01 by the zero-knowledge proposal alone, by YNoise at its published default, by the hand-over (YNoise with dt = W), by the two-stage cascade with f = 0.1, and by the Fano-factor score. Each panel is the per-pixel count of passed events over the analysed interval on a logarithmic grey scale; achieved detection and false-positive rates are given above each panel.</w:t>
      </w:r>
    </w:p>
    <w:p>
      <w:r>
        <w:t>Graphical abstract. Label-free path of the proposed detector on the two datasets: the per-pixel rate estimate fixes the window and the threshold, the window is handed to YNoise, and the achieved ROC-AUC is compared with the label-tuned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