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i w:val="0"/>
          <w:sz w:val="28"/>
        </w:rPr>
        <w:t>Self-calibrating unsupervised anomaly detection in sparse event streams: replacing designer-chosen time scales with data-native scales</w:t>
      </w:r>
    </w:p>
    <w:p>
      <w:pPr>
        <w:spacing w:after="40" w:before="0"/>
      </w:pPr>
      <w:r>
        <w:rPr>
          <w:b/>
          <w:i w:val="0"/>
          <w:sz w:val="16"/>
        </w:rPr>
        <w:t>Tatsuki Onishi</w:t>
      </w:r>
    </w:p>
    <w:p>
      <w:pPr>
        <w:spacing w:after="40" w:before="0"/>
      </w:pPr>
      <w:r>
        <w:rPr>
          <w:b w:val="0"/>
          <w:i w:val="0"/>
          <w:sz w:val="16"/>
        </w:rPr>
        <w:t>Data Science and AI Innovation Research Promotion Center, Shiga University, Hikone, Japan</w:t>
      </w:r>
    </w:p>
    <w:p>
      <w:pPr>
        <w:spacing w:after="200" w:before="0"/>
      </w:pPr>
      <w:r>
        <w:rPr>
          <w:b w:val="0"/>
          <w:i w:val="0"/>
          <w:sz w:val="16"/>
        </w:rPr>
        <w:t>Correspondence to: Tatsuki Onishi; Data Science and AI Innovation Research Promotion Center, Shiga University, Hikone, Japan; 1-1-1 Banba, Hikone, Shiga 522-8522, Japan; Telephone: +81-749-27-1023; E-mail: bougtoir@gmail.com</w:t>
      </w:r>
    </w:p>
    <w:p>
      <w:pPr>
        <w:keepNext/>
        <w:spacing w:before="240" w:after="80"/>
      </w:pPr>
      <w:r>
        <w:rPr>
          <w:rFonts w:ascii="Times New Roman" w:hAnsi="Times New Roman"/>
          <w:b/>
          <w:sz w:val="20"/>
        </w:rPr>
        <w:t>Abstract</w:t>
      </w:r>
    </w:p>
    <w:p>
      <w:pPr>
        <w:spacing w:after="120" w:before="0"/>
      </w:pPr>
      <w:r>
        <w:rPr>
          <w:b w:val="0"/>
          <w:i w:val="0"/>
        </w:rPr>
        <w:t>Sparse asynchronous event streams mix a few informative events with spontaneous pixel noise. We cast their separation as self-calibrating, unsupervised anomaly detection on a point process: each pixel's background rate is estimated from its own inter-event intervals, every event is scored by the Poisson tail probability of the count in a causal neighbourhood, and the operating point follows from a stated false-alarm budget, not from labels. On all 43 labelled recordings of the Event-Based Space Situational Awareness (EBSSA) dataset (two sensors), with grouped-cross-validated comparators, the untuned detector reaches a mean area under the receiver operating characteristic curve (ROC-AUC) of 0.753; the best label-tuned filter (YNoise) reaches 0.844, supervised networks up to 0.823, and a released supervised denoiser (AEDNet) applied unchanged 0.686. The false-alarm budget is met (requested 0.01, achieved median 0.0088). Its by-products transfer: the rate-adaptive window, handed to YNoise without labels, brings that filter to 99.7% of its label-tuned value, and a screen-then-confirm cascade improves on either alone. On DND21, a third-sensor benchmark of dense scenes (80 mixtures), the detector reaches only 0.755 against 0.888 for the default filter and 0.847 for AEDNet, and the hand-over helps only on its sparse scenes, bounding the method to the sparse-transient regime.</w:t>
      </w:r>
    </w:p>
    <w:p>
      <w:pPr>
        <w:spacing w:after="240" w:before="0"/>
      </w:pPr>
      <w:r>
        <w:rPr>
          <w:b w:val="0"/>
          <w:i w:val="0"/>
        </w:rPr>
        <w:t>Keywords: anomaly detection; unsupervised learning; point process; event camera; Poisson likelihood ratio; self-calibration</w:t>
      </w:r>
    </w:p>
    <w:p>
      <w:pPr>
        <w:keepNext/>
        <w:spacing w:before="240" w:after="80"/>
      </w:pPr>
      <w:r>
        <w:rPr>
          <w:rFonts w:ascii="Times New Roman" w:hAnsi="Times New Roman"/>
          <w:b/>
          <w:sz w:val="20"/>
        </w:rPr>
        <w:t>1. Introduction</w:t>
      </w:r>
    </w:p>
    <w:p>
      <w:pPr>
        <w:spacing w:after="120" w:before="0"/>
      </w:pPr>
      <w:r>
        <w:rPr>
          <w:b w:val="0"/>
          <w:i w:val="0"/>
        </w:rPr>
        <w:t>Many sensing systems deliver their measurements as a sparse, asynchronous stream of time-stamped discrete events rather than as regularly sampled arrays, and the pattern-recognition task is to decide, event by event, whether an event belongs to a structured source or to a spontaneous background. Event cameras, or dynamic vision sensors (DVS), are the most developed instance: each pixel emits an event when its log-intensity changes by more than a contrast threshold, giving microsecond timing and a dynamic range above 120 dB without a global exposure</w:t>
      </w:r>
      <w:r>
        <w:t xml:space="preserve"> [1,2]</w:t>
      </w:r>
      <w:r>
        <w:rPr>
          <w:b w:val="0"/>
          <w:i w:val="0"/>
        </w:rPr>
        <w:t>, and their streams are an active object of pattern-recognition research from ego-motion estimation to denoising</w:t>
      </w:r>
      <w:r>
        <w:t xml:space="preserve"> [3,4]</w:t>
      </w:r>
      <w:r>
        <w:rPr>
          <w:b w:val="0"/>
          <w:i w:val="0"/>
        </w:rPr>
        <w:t>. Their dominant contaminant is background activity (BA), spontaneous events from junction leakage and shot noise in the pixel front end whose rate depends on temperature and illumination and differs from pixel to pixel</w:t>
      </w:r>
      <w:r>
        <w:t xml:space="preserve"> [4,5]</w:t>
      </w:r>
      <w:r>
        <w:rPr>
          <w:b w:val="0"/>
          <w:i w:val="0"/>
        </w:rPr>
        <w:t>. When the scene itself is sparse, as in optical space surveillance where faint resident space objects (RSOs) move over an almost static field</w:t>
      </w:r>
      <w:r>
        <w:t xml:space="preserve"> [6-8]</w:t>
      </w:r>
      <w:r>
        <w:rPr>
          <w:b w:val="0"/>
          <w:i w:val="0"/>
        </w:rPr>
        <w:t>, the stream is dominated by this background: in the recordings analysed here the median rate is 12 kilo-events per second over a 180 x 240- or 240 x 304-pixel array, and only 0.85% of the events (median) fall inside the annotated object boxes.</w:t>
      </w:r>
    </w:p>
    <w:p>
      <w:pPr>
        <w:spacing w:after="120" w:before="0"/>
      </w:pPr>
      <w:r>
        <w:rPr>
          <w:b w:val="0"/>
          <w:i w:val="0"/>
        </w:rPr>
        <w:t>Event denoising is a mature topic: spatiotemporal correlation and density filters</w:t>
      </w:r>
      <w:r>
        <w:t xml:space="preserve"> [9-11]</w:t>
      </w:r>
      <w:r>
        <w:rPr>
          <w:b w:val="0"/>
          <w:i w:val="0"/>
        </w:rPr>
        <w:t>, the double-window filter</w:t>
      </w:r>
      <w:r>
        <w:t xml:space="preserve"> [4]</w:t>
      </w:r>
      <w:r>
        <w:rPr>
          <w:b w:val="0"/>
          <w:i w:val="0"/>
        </w:rPr>
        <w:t>, polarity-focused filters</w:t>
      </w:r>
      <w:r>
        <w:t xml:space="preserve"> [12]</w:t>
      </w:r>
      <w:r>
        <w:rPr>
          <w:b w:val="0"/>
          <w:i w:val="0"/>
        </w:rPr>
        <w:t xml:space="preserve"> and supervised networks trained on labelled streams</w:t>
      </w:r>
      <w:r>
        <w:t xml:space="preserve"> [4,13-15]</w:t>
      </w:r>
      <w:r>
        <w:rPr>
          <w:b w:val="0"/>
          <w:i w:val="0"/>
        </w:rPr>
        <w:t xml:space="preserve"> are reviewed in Section 2. Seen from the anomaly-detection literature</w:t>
      </w:r>
      <w:r>
        <w:t xml:space="preserve"> [16-18]</w:t>
      </w:r>
      <w:r>
        <w:rPr>
          <w:b w:val="0"/>
          <w:i w:val="0"/>
        </w:rPr>
        <w:t>, they share two limitations. First, they output a heuristic score (a neighbour count or a network logit) whose threshold must be tuned on labelled data for each sensor and observing condition, and the supervised methods need labelled training streams from the same domain. Second, many high-performing variants run on a voxel grid of time bins and pixels, so their cost is set by the array and the recording length rather than by the number of events, and in a sparse regime most of the work is spent on empty voxels.</w:t>
      </w:r>
    </w:p>
    <w:p>
      <w:pPr>
        <w:spacing w:after="120" w:before="0"/>
      </w:pPr>
      <w:r>
        <w:rPr>
          <w:b w:val="0"/>
          <w:i w:val="0"/>
        </w:rPr>
        <w:t>We take the starting point of unsupervised anomaly detection with an explicit null model. Under the null hypothesis that a pixel produces only BA, its events form an approximately Poisson point process with a pixel-specific rate that can be estimated from the stream itself; a source adds events that are clustered in space and time relative to that rate. The most powerful test for such a hypothesis, by the Neyman-Pearson lemma, is a likelihood ratio</w:t>
      </w:r>
      <w:r>
        <w:t xml:space="preserve"> [19,20]</w:t>
      </w:r>
      <w:r>
        <w:rPr>
          <w:b w:val="0"/>
          <w:i w:val="0"/>
        </w:rPr>
        <w:t>, which for a Poisson count reduces to a tail probability monotone in the observed neighbourhood count. This gives an event-driven anomaly detector with three properties: (i) it requires no labels because the background model is fitted to the same stream it filters; (ii) its output is a probability on a common scale, so a false-alarm budget can be converted directly into a threshold; and (iii) it touches each event once with a small neighbourhood lookup, so its cost scales with the number of events rather than with the voxel grid.</w:t>
      </w:r>
    </w:p>
    <w:p>
      <w:pPr>
        <w:spacing w:after="120" w:before="0"/>
      </w:pPr>
      <w:r>
        <w:rPr>
          <w:b w:val="0"/>
          <w:i w:val="0"/>
        </w:rPr>
        <w:t>A detector with these properties is more useful as a component than as a competitor: its window and threshold, derived from the target stream, can parameterise a downstream filter that would otherwise need labels, and its calibrated score can select the fraction of the stream that a more expensive stage examines. We are explicit that the detector alone does not exceed the best label-tuned filter or the supervised networks; its contribution is to reach most of their accuracy with no labels, no per-sensor tuning and no manually chosen threshold, and to supply the parameters those methods need.</w:t>
      </w:r>
    </w:p>
    <w:p>
      <w:pPr>
        <w:spacing w:after="120" w:before="0"/>
      </w:pPr>
      <w:r>
        <w:rPr>
          <w:b w:val="0"/>
          <w:i w:val="0"/>
        </w:rPr>
        <w:t>The paper makes the following contributions, in three steps: the detector on its own with no prior knowledge of the stream, its parameters handed to other methods, and the regime in which either helps. (1) We formulate the event-driven Poisson likelihood-ratio (LR) detector as self-calibrating anomaly detection on a marked point process, with a per-event cost that is logarithmic in the stream length and a window stated as an expected background count rather than a time, a data-native scale in the sense that the stream itself supplies it, and we show that its probability output can be set to a requested false-alarm rate without labels. (2) We evaluate it, untuned, against 16 unsupervised comparators and ablations, two supervised networks trained under grouped cross-validation and a released supervised denoiser (AEDNet) applied as a fixed model, on all 43 labelled recordings of the Event-Based Space Situational Awareness (EBSSA) dataset</w:t>
      </w:r>
      <w:r>
        <w:t xml:space="preserve"> [7]</w:t>
      </w:r>
      <w:r>
        <w:rPr>
          <w:b w:val="0"/>
          <w:i w:val="0"/>
        </w:rPr>
        <w:t>, using the published object annotations as ground truth, and we document which other learning-based denoisers cannot be run under this protocol. (3) We show that a window stated as an expected count transfers between sensor models whereas a window in milliseconds does not, and that this rate-derived window, handed to YNoise as its time constant, recovers 99.7% of the accuracy that labelled tuning gives that filter; a two-stage front end in which the proposal screens and YNoise confirms improves on both. (4) We test the whole label-free path unchanged on an independent benchmark recorded with a third sensor (DND21</w:t>
      </w:r>
      <w:r>
        <w:t xml:space="preserve"> [4]</w:t>
      </w:r>
      <w:r>
        <w:rPr>
          <w:b w:val="0"/>
          <w:i w:val="0"/>
        </w:rPr>
        <w:t>, 80 mixtures of public signal and measured-noise recordings with exact origin labels), with leave-one-scene-out selection for every tuned comparator, and report the negative result on its dense scenes: the detector and the hand-over help on sparse, transient streams and not on dense ones. (5) We measure how the cost of event-driven and voxel-based formulations changes when real streams are thinned by two orders of magnitude. Every number, table and figure is generated from result files by the code named in the Data availability statement, and the reproducibility scope of each result file is stated there.</w:t>
      </w:r>
    </w:p>
    <w:p>
      <w:pPr>
        <w:keepNext/>
        <w:spacing w:before="240" w:after="80"/>
      </w:pPr>
      <w:r>
        <w:rPr>
          <w:rFonts w:ascii="Times New Roman" w:hAnsi="Times New Roman"/>
          <w:b/>
          <w:sz w:val="20"/>
        </w:rPr>
        <w:t>2. Related work</w:t>
      </w:r>
    </w:p>
    <w:p>
      <w:pPr>
        <w:keepNext/>
        <w:spacing w:before="160" w:after="80"/>
      </w:pPr>
      <w:r>
        <w:rPr>
          <w:rFonts w:ascii="Times New Roman" w:hAnsi="Times New Roman"/>
          <w:i/>
          <w:sz w:val="20"/>
        </w:rPr>
        <w:t>2.1. Event denoising</w:t>
      </w:r>
    </w:p>
    <w:p>
      <w:pPr>
        <w:spacing w:after="120" w:before="0"/>
      </w:pPr>
      <w:r>
        <w:rPr>
          <w:b w:val="0"/>
          <w:i w:val="0"/>
        </w:rPr>
        <w:t>Hand-crafted event filters use the observation that signal events are correlated in space and time while BA is not. The background-activity filter passes an event if a neighbour fired within a time constant</w:t>
      </w:r>
      <w:r>
        <w:t xml:space="preserve"> [9]</w:t>
      </w:r>
      <w:r>
        <w:rPr>
          <w:b w:val="0"/>
          <w:i w:val="0"/>
        </w:rPr>
        <w:t>, kNoise keeps per-row and per-column memories to reduce its memory to O(N)</w:t>
      </w:r>
      <w:r>
        <w:t xml:space="preserve"> [10]</w:t>
      </w:r>
      <w:r>
        <w:rPr>
          <w:b w:val="0"/>
          <w:i w:val="0"/>
        </w:rPr>
        <w:t>, YNoise counts neighbours within a spatiotemporal window</w:t>
      </w:r>
      <w:r>
        <w:t xml:space="preserve"> [11]</w:t>
      </w:r>
      <w:r>
        <w:rPr>
          <w:b w:val="0"/>
          <w:i w:val="0"/>
        </w:rPr>
        <w:t>, the double-window filter compares an event with the most recent signal and noise events</w:t>
      </w:r>
      <w:r>
        <w:t xml:space="preserve"> [4]</w:t>
      </w:r>
      <w:r>
        <w:rPr>
          <w:b w:val="0"/>
          <w:i w:val="0"/>
        </w:rPr>
        <w:t>, and the polarity-focused filter (PFD) adds the consistency of polarity and of polarity change within the neighbourhood and has a seven-clock-cycle FPGA implementation</w:t>
      </w:r>
      <w:r>
        <w:t xml:space="preserve"> [12]</w:t>
      </w:r>
      <w:r>
        <w:rPr>
          <w:b w:val="0"/>
          <w:i w:val="0"/>
        </w:rPr>
        <w:t>. All have one or more time constants and radii that their authors set on their own sensors and scenes. Learning-based denoisers include the multilayer-perceptron filter (MLPF) on time-surface patches</w:t>
      </w:r>
      <w:r>
        <w:t xml:space="preserve"> [4]</w:t>
      </w:r>
      <w:r>
        <w:rPr>
          <w:b w:val="0"/>
          <w:i w:val="0"/>
        </w:rPr>
        <w:t>, the event-denoising convolutional network (EDnCNN) trained on event-probability masks derived from frames and inertial data</w:t>
      </w:r>
      <w:r>
        <w:t xml:space="preserve"> [13]</w:t>
      </w:r>
      <w:r>
        <w:rPr>
          <w:b w:val="0"/>
          <w:i w:val="0"/>
        </w:rPr>
        <w:t>, the asynchronous point-set network AEDNet</w:t>
      </w:r>
      <w:r>
        <w:t xml:space="preserve"> [14]</w:t>
      </w:r>
      <w:r>
        <w:rPr>
          <w:b w:val="0"/>
          <w:i w:val="0"/>
        </w:rPr>
        <w:t>, and the window-based network WedNet</w:t>
      </w:r>
      <w:r>
        <w:t xml:space="preserve"> [15]</w:t>
      </w:r>
      <w:r>
        <w:rPr>
          <w:b w:val="0"/>
          <w:i w:val="0"/>
        </w:rPr>
        <w:t>, all supervised. Benchmarks are DVSNOISE20, whose labels are model-derived probabilities</w:t>
      </w:r>
      <w:r>
        <w:t xml:space="preserve"> [13]</w:t>
      </w:r>
      <w:r>
        <w:rPr>
          <w:b w:val="0"/>
          <w:i w:val="0"/>
        </w:rPr>
        <w:t>, DND21, which mixes clean or simulated signal recordings with measured sensor noise so that the origin of every event is known</w:t>
      </w:r>
      <w:r>
        <w:t xml:space="preserve"> [4]</w:t>
      </w:r>
      <w:r>
        <w:rPr>
          <w:b w:val="0"/>
          <w:i w:val="0"/>
        </w:rPr>
        <w:t>, and E-MLB, which has no per-event ground truth and proposes a label-free structural metric instead</w:t>
      </w:r>
      <w:r>
        <w:t xml:space="preserve"> [21]</w:t>
      </w:r>
      <w:r>
        <w:rPr>
          <w:b w:val="0"/>
          <w:i w:val="0"/>
        </w:rPr>
        <w:t>. Section 4.3 records which of these methods and datasets could be run fairly under a common ROC protocol.</w:t>
      </w:r>
    </w:p>
    <w:p>
      <w:pPr>
        <w:keepNext/>
        <w:spacing w:before="160" w:after="80"/>
      </w:pPr>
      <w:r>
        <w:rPr>
          <w:rFonts w:ascii="Times New Roman" w:hAnsi="Times New Roman"/>
          <w:i/>
          <w:sz w:val="20"/>
        </w:rPr>
        <w:t>2.2. Unsupervised anomaly detection and point processes</w:t>
      </w:r>
    </w:p>
    <w:p>
      <w:pPr>
        <w:spacing w:after="120" w:before="0"/>
      </w:pPr>
      <w:r>
        <w:rPr>
          <w:b w:val="0"/>
          <w:i w:val="0"/>
        </w:rPr>
        <w:t>Unsupervised anomaly detection assumes a model of normal behaviour and flags observations that are improbable under it; classical reviews distinguish density-based, distance-based and reconstruction-based approaches and stress that calibration of the anomaly score to a false-alarm rate is as important as ranking accuracy</w:t>
      </w:r>
      <w:r>
        <w:t xml:space="preserve"> [16-18]</w:t>
      </w:r>
      <w:r>
        <w:rPr>
          <w:b w:val="0"/>
          <w:i w:val="0"/>
        </w:rPr>
        <w:t>; for streaming video this has been pursued with an explicit asymptotic bound on the false-alarm rate</w:t>
      </w:r>
      <w:r>
        <w:t xml:space="preserve"> [22]</w:t>
      </w:r>
      <w:r>
        <w:rPr>
          <w:b w:val="0"/>
          <w:i w:val="0"/>
        </w:rPr>
        <w:t>. For a point process, the natural normal model is a Poisson process</w:t>
      </w:r>
      <w:r>
        <w:t xml:space="preserve"> [23]</w:t>
      </w:r>
      <w:r>
        <w:rPr>
          <w:b w:val="0"/>
          <w:i w:val="0"/>
        </w:rPr>
        <w:t>, and model-based learning on point-pattern data uses the same Poisson likelihood for classification and novelty detection</w:t>
      </w:r>
      <w:r>
        <w:t xml:space="preserve"> [24]</w:t>
      </w:r>
      <w:r>
        <w:rPr>
          <w:b w:val="0"/>
          <w:i w:val="0"/>
        </w:rPr>
        <w:t>; the natural statistic is the probability of the observed count under that process. The present work applies this classical scheme to a stream in which the normal model differs from pixel to pixel and must be fitted online, and makes two additions that the review literature identifies as open: a calibrated score whose threshold is a stated false-alarm rate, and the reuse of the fitted normal model to parameterise other detectors.</w:t>
      </w:r>
    </w:p>
    <w:p>
      <w:pPr>
        <w:keepNext/>
        <w:spacing w:before="240" w:after="80"/>
      </w:pPr>
      <w:r>
        <w:rPr>
          <w:rFonts w:ascii="Times New Roman" w:hAnsi="Times New Roman"/>
          <w:b/>
          <w:sz w:val="20"/>
        </w:rPr>
        <w:t>3. Method</w:t>
      </w:r>
    </w:p>
    <w:p>
      <w:pPr>
        <w:keepNext/>
        <w:spacing w:before="160" w:after="80"/>
      </w:pPr>
      <w:r>
        <w:rPr>
          <w:rFonts w:ascii="Times New Roman" w:hAnsi="Times New Roman"/>
          <w:i/>
          <w:sz w:val="20"/>
        </w:rPr>
        <w:t>3.1. Event stream and hypotheses</w:t>
      </w:r>
    </w:p>
    <w:p>
      <w:pPr>
        <w:spacing w:after="120"/>
      </w:pPr>
      <w:r>
        <w:rPr>
          <w:b w:val="0"/>
          <w:i w:val="0"/>
        </w:rPr>
        <w:t xml:space="preserve">An event camera produces a time-ordered stream of events </w:t>
      </w:r>
      <m:oMath>
        <m:sSub>
          <m:e>
            <m:r>
              <m:t xml:space="preserve">e</m:t>
            </m:r>
          </m:e>
          <m:sub>
            <m:r>
              <m:t xml:space="preserve">i</m:t>
            </m:r>
          </m:sub>
        </m:sSub>
        <m:r>
          <m:t xml:space="preserve"> = </m:t>
        </m:r>
        <m:d>
          <m:dPr>
            <m:begChr m:val="("/>
            <m:endChr m:val=")"/>
          </m:dPr>
          <m:e>
            <m:sSub>
              <m:e>
                <m:r>
                  <m:t xml:space="preserve">x</m:t>
                </m:r>
              </m:e>
              <m:sub>
                <m:r>
                  <m:t xml:space="preserve">i</m:t>
                </m:r>
              </m:sub>
            </m:sSub>
            <m:r>
              <m:t xml:space="preserve">, </m:t>
            </m:r>
            <m:sSub>
              <m:e>
                <m:r>
                  <m:t xml:space="preserve">y</m:t>
                </m:r>
              </m:e>
              <m:sub>
                <m:r>
                  <m:t xml:space="preserve">i</m:t>
                </m:r>
              </m:sub>
            </m:sSub>
            <m:r>
              <m:t xml:space="preserve">, </m:t>
            </m:r>
            <m:sSub>
              <m:e>
                <m:r>
                  <m:t xml:space="preserve">t</m:t>
                </m:r>
              </m:e>
              <m:sub>
                <m:r>
                  <m:t xml:space="preserve">i</m:t>
                </m:r>
              </m:sub>
            </m:sSub>
            <m:r>
              <m:t xml:space="preserve">, </m:t>
            </m:r>
            <m:sSub>
              <m:e>
                <m:r>
                  <m:t xml:space="preserve">p</m:t>
                </m:r>
              </m:e>
              <m:sub>
                <m:r>
                  <m:t xml:space="preserve">i</m:t>
                </m:r>
              </m:sub>
            </m:sSub>
          </m:e>
        </m:d>
      </m:oMath>
      <w:r>
        <w:rPr>
          <w:b w:val="0"/>
          <w:i w:val="0"/>
        </w:rPr>
        <w:t>, where (x_i, y_i) is the pixel address, t_i the timestamp in microseconds and p_i the polarity. We ignore polarity in the detector. For every event we test the null hypothesis H0 that the events in a small causal neighbourhood of e_i were produced by the pixel-wise BA process alone, against the alternative H1 that an additional source contributed to them. Under H0 we model the BA of pixel (x, y) as a homogeneous Poisson process with rate λ_xy</w:t>
      </w:r>
      <w:r>
        <w:t xml:space="preserve"> [23]</w:t>
      </w:r>
      <w:r>
        <w:rPr>
          <w:b w:val="0"/>
          <w:i w:val="0"/>
        </w:rPr>
        <w:t>; the rates differ between pixels because leakage and hot-pixel behaviour do</w:t>
      </w:r>
      <w:r>
        <w:t xml:space="preserve"> [5]</w:t>
      </w:r>
      <w:r>
        <w:rPr>
          <w:b w:val="0"/>
          <w:i w:val="0"/>
        </w:rPr>
        <w:t>. Fig. 1 summarises the pipeline.</w:t>
      </w:r>
    </w:p>
    <w:p>
      <w:pPr>
        <w:keepNext/>
        <w:spacing w:before="240"/>
        <w:jc w:val="center"/>
      </w:pPr>
      <w:r>
        <w:drawing>
          <wp:inline xmlns:a="http://schemas.openxmlformats.org/drawingml/2006/main" xmlns:pic="http://schemas.openxmlformats.org/drawingml/2006/picture">
            <wp:extent cx="4103999" cy="1883714"/>
            <wp:docPr id="1" name="Picture 1"/>
            <wp:cNvGraphicFramePr>
              <a:graphicFrameLocks noChangeAspect="1"/>
            </wp:cNvGraphicFramePr>
            <a:graphic>
              <a:graphicData uri="http://schemas.openxmlformats.org/drawingml/2006/picture">
                <pic:pic>
                  <pic:nvPicPr>
                    <pic:cNvPr id="0" name="fig1_method.png"/>
                    <pic:cNvPicPr/>
                  </pic:nvPicPr>
                  <pic:blipFill>
                    <a:blip r:embed="rId10"/>
                    <a:stretch>
                      <a:fillRect/>
                    </a:stretch>
                  </pic:blipFill>
                  <pic:spPr>
                    <a:xfrm>
                      <a:off x="0" y="0"/>
                      <a:ext cx="4103999" cy="1883714"/>
                    </a:xfrm>
                    <a:prstGeom prst="rect"/>
                  </pic:spPr>
                </pic:pic>
              </a:graphicData>
            </a:graphic>
          </wp:inline>
        </w:drawing>
      </w:r>
    </w:p>
    <w:p>
      <w:pPr>
        <w:spacing w:before="120" w:after="280" w:line="240" w:lineRule="auto"/>
      </w:pPr>
      <w:r>
        <w:rPr>
          <w:b w:val="0"/>
          <w:i w:val="0"/>
          <w:sz w:val="16"/>
        </w:rPr>
        <w:t>Fig. 1. Event-driven Poisson likelihood-ratio detector. Each event is scored from the estimated background rate of its neighbourhood and the number of events that arrived in that neighbourhood during the preceding window W, which is stated as an expected background count k rather than a fixed number of milliseconds; the tail probability is used directly as the noise probability. Blue boxes: what the stream itself delivers without labels, the operating point at a requested false-alarm rate, a window W that carries across sensor models and can set the time constant of another filter, and a per-event cost without a voxel grid.</w:t>
      </w:r>
    </w:p>
    <w:p>
      <w:pPr>
        <w:keepNext/>
        <w:spacing w:before="160" w:after="80"/>
      </w:pPr>
      <w:r>
        <w:rPr>
          <w:rFonts w:ascii="Times New Roman" w:hAnsi="Times New Roman"/>
          <w:i/>
          <w:sz w:val="20"/>
        </w:rPr>
        <w:t>3.2. Per-pixel background-rate estimation</w:t>
      </w:r>
    </w:p>
    <w:p>
      <w:pPr>
        <w:spacing w:after="120"/>
      </w:pPr>
      <w:r>
        <w:rPr>
          <w:b w:val="0"/>
          <w:i w:val="0"/>
        </w:rPr>
        <w:t xml:space="preserve">The rate of each pixel is estimated from its own inter-event intervals. Let Δ_xy(q) be the q-quantile of the intervals between successive events at pixel (x, y). For an exponential interval distribution with rate λ the q-quantile is </w:t>
      </w:r>
      <m:oMath>
        <m:sSub>
          <m:e>
            <m:r>
              <m:t xml:space="preserve">Δ</m:t>
            </m:r>
          </m:e>
          <m:sub>
            <m:r>
              <m:t xml:space="preserve">xy</m:t>
            </m:r>
          </m:sub>
        </m:sSub>
        <m:r>
          <m:t xml:space="preserve">(q) = </m:t>
        </m:r>
        <m:f>
          <m:num>
            <m:r>
              <m:rPr>
                <m:sty m:val="p"/>
              </m:rPr>
              <m:t xml:space="preserve">−ln</m:t>
            </m:r>
            <m:d>
              <m:dPr>
                <m:begChr m:val="("/>
                <m:endChr m:val=")"/>
              </m:dPr>
              <m:e>
                <m:r>
                  <m:t xml:space="preserve">1 − q</m:t>
                </m:r>
              </m:e>
            </m:d>
          </m:num>
          <m:den>
            <m:r>
              <m:t xml:space="preserve">λ</m:t>
            </m:r>
          </m:den>
        </m:f>
      </m:oMath>
      <w:r>
        <w:rPr>
          <w:b w:val="0"/>
          <w:i w:val="0"/>
        </w:rPr>
        <w:t>, so</w:t>
      </w:r>
    </w:p>
    <w:p>
      <w:pPr>
        <w:spacing w:before="120" w:after="120"/>
        <w:jc w:val="center"/>
      </w:pPr>
      <m:oMathPara>
        <m:oMath>
          <m:acc>
            <m:accPr>
              <m:chr m:val="̂"/>
            </m:accPr>
            <m:e>
              <m:r>
                <m:t xml:space="preserve">λ</m:t>
              </m:r>
            </m:e>
          </m:acc>
          <m:sSub>
            <m:e>
              <m:r>
                <m:t xml:space="preserve"/>
              </m:r>
            </m:e>
            <m:sub>
              <m:r>
                <m:t xml:space="preserve">xy</m:t>
              </m:r>
            </m:sub>
          </m:sSub>
          <m:r>
            <m:t xml:space="preserve"> = </m:t>
          </m:r>
          <m:f>
            <m:num>
              <m:r>
                <m:rPr>
                  <m:sty m:val="p"/>
                </m:rPr>
                <m:t xml:space="preserve">−ln</m:t>
              </m:r>
              <m:d>
                <m:dPr>
                  <m:begChr m:val="("/>
                  <m:endChr m:val=")"/>
                </m:dPr>
                <m:e>
                  <m:r>
                    <m:t xml:space="preserve">1 − q</m:t>
                  </m:r>
                </m:e>
              </m:d>
            </m:num>
            <m:den>
              <m:sSub>
                <m:e>
                  <m:r>
                    <m:t xml:space="preserve">Δ</m:t>
                  </m:r>
                </m:e>
                <m:sub>
                  <m:r>
                    <m:t xml:space="preserve">xy</m:t>
                  </m:r>
                </m:sub>
              </m:sSub>
              <m:r>
                <m:t xml:space="preserve">(q)</m:t>
              </m:r>
            </m:den>
          </m:f>
        </m:oMath>
      </m:oMathPara>
      <w:r>
        <w:rPr>
          <w:sz w:val="20"/>
        </w:rPr>
        <w:t xml:space="preserve">    (1)</w:t>
      </w:r>
    </w:p>
    <w:p>
      <w:pPr>
        <w:spacing w:after="120" w:before="0"/>
      </w:pPr>
      <w:r>
        <w:rPr>
          <w:b w:val="0"/>
          <w:i w:val="0"/>
        </w:rPr>
        <w:t>is a consistent estimate of the BA rate. A high quantile is deliberately used: source events shorten a minority of the intervals at the pixels they cross, and a high quantile of the interval distribution is insensitive to that minority, whereas the mean interval is not. Pixels with fewer than four events receive the median rate of the array. The quantile q, the window W and the radius r introduced below are the only tuned parameters (Section 4.4).</w:t>
      </w:r>
    </w:p>
    <w:p>
      <w:pPr>
        <w:keepNext/>
        <w:spacing w:before="160" w:after="80"/>
      </w:pPr>
      <w:r>
        <w:rPr>
          <w:rFonts w:ascii="Times New Roman" w:hAnsi="Times New Roman"/>
          <w:i/>
          <w:sz w:val="20"/>
        </w:rPr>
        <w:t>3.3. Event-driven Poisson tail test</w:t>
      </w:r>
    </w:p>
    <w:p>
      <w:pPr>
        <w:spacing w:after="120" w:before="0"/>
      </w:pPr>
      <w:r>
        <w:rPr>
          <w:b w:val="0"/>
          <w:i w:val="0"/>
        </w:rPr>
        <w:t>For event i let N_i be the number of events, including e_i itself, that arrived at most W microseconds earlier within the (2r + 1) x (2r + 1) pixel neighbourhood centred on (x_i, y_i):</w:t>
      </w:r>
    </w:p>
    <w:p>
      <w:pPr>
        <w:spacing w:before="120" w:after="120"/>
        <w:jc w:val="center"/>
      </w:pPr>
      <m:oMathPara>
        <m:oMath>
          <m:sSub>
            <m:e>
              <m:r>
                <m:t xml:space="preserve">N</m:t>
              </m:r>
            </m:e>
            <m:sub>
              <m:r>
                <m:t xml:space="preserve">i</m:t>
              </m:r>
            </m:sub>
          </m:sSub>
          <m:r>
            <m:t xml:space="preserve"> = #</m:t>
          </m:r>
          <m:d>
            <m:dPr>
              <m:begChr m:val="{"/>
              <m:endChr m:val="}"/>
            </m:dPr>
            <m:e>
              <m:r>
                <m:t xml:space="preserve">j : </m:t>
              </m:r>
              <m:sSub>
                <m:e>
                  <m:r>
                    <m:t xml:space="preserve">t</m:t>
                  </m:r>
                </m:e>
                <m:sub>
                  <m:r>
                    <m:t xml:space="preserve">i</m:t>
                  </m:r>
                </m:sub>
              </m:sSub>
              <m:r>
                <m:t xml:space="preserve"> − W ≤ </m:t>
              </m:r>
              <m:sSub>
                <m:e>
                  <m:r>
                    <m:t xml:space="preserve">t</m:t>
                  </m:r>
                </m:e>
                <m:sub>
                  <m:r>
                    <m:t xml:space="preserve">j</m:t>
                  </m:r>
                </m:sub>
              </m:sSub>
              <m:r>
                <m:t xml:space="preserve"> &lt; </m:t>
              </m:r>
              <m:sSub>
                <m:e>
                  <m:r>
                    <m:t xml:space="preserve">t</m:t>
                  </m:r>
                </m:e>
                <m:sub>
                  <m:r>
                    <m:t xml:space="preserve">i</m:t>
                  </m:r>
                </m:sub>
              </m:sSub>
              <m:r>
                <m:t xml:space="preserve">, </m:t>
              </m:r>
              <m:r>
                <m:t xml:space="preserve">‖</m:t>
              </m:r>
              <m:d>
                <m:dPr>
                  <m:begChr m:val="("/>
                  <m:endChr m:val=")"/>
                </m:dPr>
                <m:e>
                  <m:sSub>
                    <m:e>
                      <m:r>
                        <m:t xml:space="preserve">x</m:t>
                      </m:r>
                    </m:e>
                    <m:sub>
                      <m:r>
                        <m:t xml:space="preserve">j</m:t>
                      </m:r>
                    </m:sub>
                  </m:sSub>
                  <m:r>
                    <m:t xml:space="preserve"> − </m:t>
                  </m:r>
                  <m:sSub>
                    <m:e>
                      <m:r>
                        <m:t xml:space="preserve">x</m:t>
                      </m:r>
                    </m:e>
                    <m:sub>
                      <m:r>
                        <m:t xml:space="preserve">i</m:t>
                      </m:r>
                    </m:sub>
                  </m:sSub>
                  <m:r>
                    <m:t xml:space="preserve">, </m:t>
                  </m:r>
                  <m:sSub>
                    <m:e>
                      <m:r>
                        <m:t xml:space="preserve">y</m:t>
                      </m:r>
                    </m:e>
                    <m:sub>
                      <m:r>
                        <m:t xml:space="preserve">j</m:t>
                      </m:r>
                    </m:sub>
                  </m:sSub>
                  <m:r>
                    <m:t xml:space="preserve"> − </m:t>
                  </m:r>
                  <m:sSub>
                    <m:e>
                      <m:r>
                        <m:t xml:space="preserve">y</m:t>
                      </m:r>
                    </m:e>
                    <m:sub>
                      <m:r>
                        <m:t xml:space="preserve">i</m:t>
                      </m:r>
                    </m:sub>
                  </m:sSub>
                </m:e>
              </m:d>
              <m:r>
                <m:t xml:space="preserve">‖</m:t>
              </m:r>
              <m:sSub>
                <m:e>
                  <m:r>
                    <m:t xml:space="preserve"/>
                  </m:r>
                </m:e>
                <m:sub>
                  <m:r>
                    <m:t xml:space="preserve">∞</m:t>
                  </m:r>
                </m:sub>
              </m:sSub>
              <m:r>
                <m:t xml:space="preserve"> ≤ r</m:t>
              </m:r>
            </m:e>
          </m:d>
        </m:oMath>
      </m:oMathPara>
      <w:r>
        <w:rPr>
          <w:sz w:val="20"/>
        </w:rPr>
        <w:t xml:space="preserve">    (2)</w:t>
      </w:r>
    </w:p>
    <w:p>
      <w:pPr>
        <w:spacing w:after="120" w:before="0"/>
      </w:pPr>
      <w:r>
        <w:rPr>
          <w:b w:val="0"/>
          <w:i w:val="0"/>
        </w:rPr>
        <w:t>Under H0 the count is Poisson with mean</w:t>
      </w:r>
    </w:p>
    <w:p>
      <w:pPr>
        <w:spacing w:before="120" w:after="120"/>
        <w:jc w:val="center"/>
      </w:pPr>
      <m:oMathPara>
        <m:oMath>
          <m:sSub>
            <m:e>
              <m:r>
                <m:t xml:space="preserve">Λ</m:t>
              </m:r>
            </m:e>
            <m:sub>
              <m:r>
                <m:t xml:space="preserve">i</m:t>
              </m:r>
            </m:sub>
          </m:sSub>
          <m:r>
            <m:t xml:space="preserve"> = W </m:t>
          </m:r>
          <m:nary>
            <m:naryPr>
              <m:chr m:val="∑"/>
              <m:limLoc m:val="undOvr"/>
            </m:naryPr>
            <m:sub>
              <m:r>
                <m:t xml:space="preserve">|u|,|v| ≤ r</m:t>
              </m:r>
            </m:sub>
            <m:sup/>
            <m:e>
              <m:acc>
                <m:accPr>
                  <m:chr m:val="̂"/>
                </m:accPr>
                <m:e>
                  <m:r>
                    <m:t xml:space="preserve">λ</m:t>
                  </m:r>
                </m:e>
              </m:acc>
              <m:sSub>
                <m:e>
                  <m:r>
                    <m:t xml:space="preserve"/>
                  </m:r>
                </m:e>
                <m:sub>
                  <m:r>
                    <m:t xml:space="preserve">x_i+u, y_i+v</m:t>
                  </m:r>
                </m:sub>
              </m:sSub>
            </m:e>
          </m:nary>
        </m:oMath>
      </m:oMathPara>
      <w:r>
        <w:rPr>
          <w:sz w:val="20"/>
        </w:rPr>
        <w:t xml:space="preserve">    (3)</w:t>
      </w:r>
    </w:p>
    <w:p>
      <w:pPr>
        <w:spacing w:after="120" w:before="0"/>
      </w:pPr>
      <w:r>
        <w:rPr>
          <w:b w:val="0"/>
          <w:i w:val="0"/>
        </w:rPr>
        <w:t>The likelihood ratio of H1 against H0 for a Poisson count with a larger alternative rate is monotone increasing in N_i, so by the Neyman-Pearson lemma thresholding N_i given Λ_i is the most powerful test at any size, and the size attained by observing N_i is the upper tail probability</w:t>
      </w:r>
      <w:r>
        <w:t xml:space="preserve"> [20]</w:t>
      </w:r>
    </w:p>
    <w:p>
      <w:pPr>
        <w:spacing w:before="120" w:after="120"/>
        <w:jc w:val="center"/>
      </w:pPr>
      <m:oMathPara>
        <m:oMath>
          <m:sSub>
            <m:e>
              <m:r>
                <m:t xml:space="preserve">P</m:t>
              </m:r>
            </m:e>
            <m:sub>
              <m:r>
                <m:t xml:space="preserve">i</m:t>
              </m:r>
            </m:sub>
          </m:sSub>
          <m:r>
            <m:rPr>
              <m:sty m:val="p"/>
            </m:rPr>
            <m:t xml:space="preserve"> = Pr</m:t>
          </m:r>
          <m:d>
            <m:dPr>
              <m:begChr m:val="("/>
              <m:endChr m:val=")"/>
            </m:dPr>
            <m:e>
              <m:r>
                <m:t xml:space="preserve">N ≥ </m:t>
              </m:r>
              <m:sSub>
                <m:e>
                  <m:r>
                    <m:t xml:space="preserve">N</m:t>
                  </m:r>
                </m:e>
                <m:sub>
                  <m:r>
                    <m:t xml:space="preserve">i</m:t>
                  </m:r>
                </m:sub>
              </m:sSub>
              <m:r>
                <m:t xml:space="preserve"> | </m:t>
              </m:r>
              <m:sSub>
                <m:e>
                  <m:r>
                    <m:t xml:space="preserve">Λ</m:t>
                  </m:r>
                </m:e>
                <m:sub>
                  <m:r>
                    <m:t xml:space="preserve">i</m:t>
                  </m:r>
                </m:sub>
              </m:sSub>
            </m:e>
          </m:d>
          <m:r>
            <m:t xml:space="preserve"> = </m:t>
          </m:r>
          <m:nary>
            <m:naryPr>
              <m:chr m:val="∑"/>
              <m:limLoc m:val="undOvr"/>
            </m:naryPr>
            <m:sub>
              <m:r>
                <m:t xml:space="preserve">k = </m:t>
              </m:r>
              <m:sSub>
                <m:e>
                  <m:r>
                    <m:t xml:space="preserve">N</m:t>
                  </m:r>
                </m:e>
                <m:sub>
                  <m:r>
                    <m:t xml:space="preserve">i</m:t>
                  </m:r>
                </m:sub>
              </m:sSub>
            </m:sub>
            <m:sup>
              <m:r>
                <m:t xml:space="preserve">∞</m:t>
              </m:r>
            </m:sup>
            <m:e>
              <m:sSup>
                <m:e>
                  <m:r>
                    <m:t xml:space="preserve">e</m:t>
                  </m:r>
                </m:e>
                <m:sup>
                  <m:r>
                    <m:t xml:space="preserve">−Λ_i</m:t>
                  </m:r>
                </m:sup>
              </m:sSup>
              <m:f>
                <m:num>
                  <m:sSup>
                    <m:e>
                      <m:r>
                        <m:t xml:space="preserve">Λ</m:t>
                      </m:r>
                    </m:e>
                    <m:sup>
                      <m:r>
                        <m:t xml:space="preserve">k</m:t>
                      </m:r>
                    </m:sup>
                  </m:sSup>
                </m:num>
                <m:den>
                  <m:r>
                    <m:t xml:space="preserve">k!</m:t>
                  </m:r>
                </m:den>
              </m:f>
            </m:e>
          </m:nary>
        </m:oMath>
      </m:oMathPara>
      <w:r>
        <w:rPr>
          <w:sz w:val="20"/>
        </w:rPr>
        <w:t xml:space="preserve">    (4)</w:t>
      </w:r>
    </w:p>
    <w:p>
      <w:pPr>
        <w:spacing w:after="120" w:before="0"/>
      </w:pPr>
      <w:r>
        <w:rPr>
          <w:b w:val="0"/>
          <w:i w:val="0"/>
        </w:rPr>
        <w:t>P_i is reported as the noise probability of event i. Because Λ_i differs between events, the comparison is made on the probability scale rather than on the raw count, which lets one threshold serve the whole array. The stream is processed in time order: a per-pixel ring of recent timestamps and a running pointer into the sorted stream give N_i in O((2r + 1)^2 + log n) operations per event, and the rate sum in Eq. (3) is a box filter over the rate map computed once; no voxel grid or dense frame is allocated. The implementation uses NumPy and Numba</w:t>
      </w:r>
      <w:r>
        <w:t xml:space="preserve"> [25]</w:t>
      </w:r>
      <w:r>
        <w:rPr>
          <w:b w:val="0"/>
          <w:i w:val="0"/>
        </w:rPr>
        <w:t>.</w:t>
      </w:r>
    </w:p>
    <w:p>
      <w:pPr>
        <w:keepNext/>
        <w:spacing w:before="160" w:after="80"/>
      </w:pPr>
      <w:r>
        <w:rPr>
          <w:rFonts w:ascii="Times New Roman" w:hAnsi="Times New Roman"/>
          <w:i/>
          <w:sz w:val="20"/>
        </w:rPr>
        <w:t>3.4. Self-calibrated operating point</w:t>
      </w:r>
    </w:p>
    <w:p>
      <w:pPr>
        <w:spacing w:after="120" w:before="0"/>
      </w:pPr>
      <w:r>
        <w:rPr>
          <w:b w:val="0"/>
          <w:i w:val="0"/>
        </w:rPr>
        <w:t>A consumer downstream of the detector typically tolerates a stated false-alarm rate α rather than a stated threshold. Because P_i is a probability, a label-free operating point is obtained by asking the detector to pass exactly a fraction α of the stream:</w:t>
      </w:r>
    </w:p>
    <w:p>
      <w:pPr>
        <w:spacing w:before="120" w:after="120"/>
        <w:jc w:val="center"/>
      </w:pPr>
      <m:oMathPara>
        <m:oMath>
          <m:sSub>
            <m:e>
              <m:r>
                <m:t xml:space="preserve">τ</m:t>
              </m:r>
            </m:e>
            <m:sub>
              <m:r>
                <m:t xml:space="preserve">α</m:t>
              </m:r>
            </m:sub>
          </m:sSub>
          <m:r>
            <m:t xml:space="preserve"> = </m:t>
          </m:r>
          <m:r>
            <m:rPr>
              <m:sty m:val="p"/>
            </m:rPr>
            <m:t xml:space="preserve">Q</m:t>
          </m:r>
          <m:sSub>
            <m:e>
              <m:r>
                <m:t xml:space="preserve"/>
              </m:r>
            </m:e>
            <m:sub>
              <m:r>
                <m:t xml:space="preserve">α</m:t>
              </m:r>
            </m:sub>
          </m:sSub>
          <m:d>
            <m:dPr>
              <m:begChr m:val="("/>
              <m:endChr m:val=")"/>
            </m:dPr>
            <m:e>
              <m:r>
                <m:t xml:space="preserve">{</m:t>
              </m:r>
              <m:sSub>
                <m:e>
                  <m:r>
                    <m:t xml:space="preserve">P</m:t>
                  </m:r>
                </m:e>
                <m:sub>
                  <m:r>
                    <m:t xml:space="preserve">i</m:t>
                  </m:r>
                </m:sub>
              </m:sSub>
              <m:r>
                <m:t xml:space="preserve">}</m:t>
              </m:r>
            </m:e>
          </m:d>
          <m:r>
            <m:rPr>
              <m:sty m:val="p"/>
            </m:rPr>
            <m:t xml:space="preserve">,      pass event i if </m:t>
          </m:r>
          <m:sSub>
            <m:e>
              <m:r>
                <m:t xml:space="preserve">P</m:t>
              </m:r>
            </m:e>
            <m:sub>
              <m:r>
                <m:t xml:space="preserve">i</m:t>
              </m:r>
            </m:sub>
          </m:sSub>
          <m:r>
            <m:t xml:space="preserve"> &lt; </m:t>
          </m:r>
          <m:sSub>
            <m:e>
              <m:r>
                <m:t xml:space="preserve">τ</m:t>
              </m:r>
            </m:e>
            <m:sub>
              <m:r>
                <m:t xml:space="preserve">α</m:t>
              </m:r>
            </m:sub>
          </m:sSub>
        </m:oMath>
      </m:oMathPara>
      <w:r>
        <w:rPr>
          <w:sz w:val="20"/>
        </w:rPr>
        <w:t xml:space="preserve">    (5)</w:t>
      </w:r>
    </w:p>
    <w:p>
      <w:pPr>
        <w:spacing w:after="120" w:before="0"/>
      </w:pPr>
      <w:r>
        <w:rPr>
          <w:b w:val="0"/>
          <w:i w:val="0"/>
        </w:rPr>
        <w:t>where Q_α denotes the empirical α-quantile. If the anomalous fraction is small and the background model is adequate, the achieved false-alarm rate on true noise events is close to α. The same rule is applied to the comparators, but an integer neighbour count has few distinct values and cannot be cut at an arbitrary quantile, whereas a continuous probability can. The inequality is strict, so that tied scores at the quantile are not passed and the achieved rate stays at or below α; such ties arise for the proposed detector when Λ_i is so large that P_i rounds to one, and the fraction of saturated scores is a label-free diagnostic that the window is too long for the background rate.</w:t>
      </w:r>
    </w:p>
    <w:p>
      <w:pPr>
        <w:keepNext/>
        <w:spacing w:before="160" w:after="80"/>
      </w:pPr>
      <w:r>
        <w:rPr>
          <w:rFonts w:ascii="Times New Roman" w:hAnsi="Times New Roman"/>
          <w:i/>
          <w:sz w:val="20"/>
        </w:rPr>
        <w:t>3.5. Rate-adaptive window</w:t>
      </w:r>
    </w:p>
    <w:p>
      <w:pPr>
        <w:spacing w:after="120" w:before="0"/>
      </w:pPr>
      <w:r>
        <w:rPr>
          <w:b w:val="0"/>
          <w:i w:val="0"/>
        </w:rPr>
        <w:t>A window stated in milliseconds is a sensor-specific choice: the same W gives a background expectation Λ_i that is several times larger on a sensor with a higher BA rate, and the tail probability saturates. The window is therefore also specified in a dimensionless form, as the expected number k of background events in the neighbourhood,</w:t>
      </w:r>
    </w:p>
    <w:p>
      <w:pPr>
        <w:spacing w:before="120" w:after="120"/>
        <w:jc w:val="center"/>
      </w:pPr>
      <m:oMathPara>
        <m:oMath>
          <m:r>
            <m:t xml:space="preserve">W = </m:t>
          </m:r>
          <m:f>
            <m:num>
              <m:r>
                <m:t xml:space="preserve">k</m:t>
              </m:r>
            </m:num>
            <m:den>
              <m:r>
                <m:rPr>
                  <m:sty m:val="p"/>
                </m:rPr>
                <m:t xml:space="preserve">median</m:t>
              </m:r>
              <m:sSub>
                <m:e>
                  <m:r>
                    <m:t xml:space="preserve"/>
                  </m:r>
                </m:e>
                <m:sub>
                  <m:r>
                    <m:t xml:space="preserve">i</m:t>
                  </m:r>
                </m:sub>
              </m:sSub>
              <m:d>
                <m:dPr>
                  <m:begChr m:val="("/>
                  <m:endChr m:val=")"/>
                </m:dPr>
                <m:e>
                  <m:nary>
                    <m:naryPr>
                      <m:chr m:val="∑"/>
                      <m:limLoc m:val="undOvr"/>
                    </m:naryPr>
                    <m:sub>
                      <m:r>
                        <m:t xml:space="preserve">|u|,|v| ≤ r</m:t>
                      </m:r>
                    </m:sub>
                    <m:sup/>
                    <m:e>
                      <m:acc>
                        <m:accPr>
                          <m:chr m:val="̂"/>
                        </m:accPr>
                        <m:e>
                          <m:r>
                            <m:t xml:space="preserve">λ</m:t>
                          </m:r>
                        </m:e>
                      </m:acc>
                      <m:sSub>
                        <m:e>
                          <m:r>
                            <m:t xml:space="preserve"/>
                          </m:r>
                        </m:e>
                        <m:sub>
                          <m:r>
                            <m:t xml:space="preserve">x_i+u, y_i+v</m:t>
                          </m:r>
                        </m:sub>
                      </m:sSub>
                    </m:e>
                  </m:nary>
                </m:e>
              </m:d>
            </m:den>
          </m:f>
        </m:oMath>
      </m:oMathPara>
      <w:r>
        <w:rPr>
          <w:sz w:val="20"/>
        </w:rPr>
        <w:t xml:space="preserve">    (6)</w:t>
      </w:r>
    </w:p>
    <w:p>
      <w:pPr>
        <w:spacing w:after="120" w:before="0"/>
      </w:pPr>
      <w:r>
        <w:rPr>
          <w:b w:val="0"/>
          <w:i w:val="0"/>
        </w:rPr>
        <w:t>with the sum over the (2r + 1) x (2r + 1) neighbourhood of event i and the median over the events of the stream; W is clipped to [1 ms, 2 s]. The rate estimate is that of Section 3.2, so the rule uses nothing but the target stream. The deployment configuration is r = 3, k = 16, q = 0.99. The value of k was fixed once, from the trade-off between ranking accuracy and saturation over k in {2, 4, 8, 16, 32, 64} on EBSSA (Section 5.6); it is a constant of the method, not a per-sensor setting, and Sections 4.6 and 4.2 test whether it carries over.</w:t>
      </w:r>
    </w:p>
    <w:p>
      <w:pPr>
        <w:keepNext/>
        <w:spacing w:before="160" w:after="80"/>
      </w:pPr>
      <w:r>
        <w:rPr>
          <w:rFonts w:ascii="Times New Roman" w:hAnsi="Times New Roman"/>
          <w:i/>
          <w:sz w:val="20"/>
        </w:rPr>
        <w:t>3.6. Parameter hand-over and two-stage cascade</w:t>
      </w:r>
    </w:p>
    <w:p>
      <w:pPr>
        <w:spacing w:after="120" w:before="0"/>
      </w:pPr>
      <w:r>
        <w:rPr>
          <w:b w:val="0"/>
          <w:i w:val="0"/>
        </w:rPr>
        <w:t>The detector produces two label-free by-products: the per-pixel rate map and the rate-adaptive window W. In the hand-over, the time constant dt of the density filter YNoise, which counts the neighbours of an event that fired within dt and whose published default is dt = 30 ms with radius 2</w:t>
      </w:r>
      <w:r>
        <w:t xml:space="preserve"> [11]</w:t>
      </w:r>
      <w:r>
        <w:rPr>
          <w:b w:val="0"/>
          <w:i w:val="0"/>
        </w:rPr>
        <w:t>, is set equal to W and its radius to r = 3, per recording and without labels. In the two-stage cascade, the detector first passes the fraction f of the stream with the smallest noise probability (Eq. (5); if the strict quantile would pass fewer than half the requested number because of tied probabilities, the whole tied block is passed and the achieved fraction is reported), and YNoise is run on the passed events alone, so that its recent-event map and its cost see only that fraction. The two-stage score ranks rejected events (by stage-1 probability) below passed ones (by stage-2 density); its operating point is again a quantile of the stream.</w:t>
      </w:r>
    </w:p>
    <w:p>
      <w:pPr>
        <w:keepNext/>
        <w:spacing w:before="240" w:after="80"/>
      </w:pPr>
      <w:r>
        <w:rPr>
          <w:rFonts w:ascii="Times New Roman" w:hAnsi="Times New Roman"/>
          <w:b/>
          <w:sz w:val="20"/>
        </w:rPr>
        <w:t>4. Experimental setup</w:t>
      </w:r>
    </w:p>
    <w:p>
      <w:pPr>
        <w:keepNext/>
        <w:spacing w:before="160" w:after="80"/>
      </w:pPr>
      <w:r>
        <w:rPr>
          <w:rFonts w:ascii="Times New Roman" w:hAnsi="Times New Roman"/>
          <w:i/>
          <w:sz w:val="20"/>
        </w:rPr>
        <w:t>4.1. EBSSA: two sensors, annotated sky recordings</w:t>
      </w:r>
    </w:p>
    <w:p>
      <w:pPr>
        <w:spacing w:after="120" w:before="0"/>
      </w:pPr>
      <w:r>
        <w:rPr>
          <w:b w:val="0"/>
          <w:i w:val="0"/>
        </w:rPr>
        <w:t>We used the labelled split of the EBSSA dataset</w:t>
      </w:r>
      <w:r>
        <w:t xml:space="preserve"> [7]</w:t>
      </w:r>
      <w:r>
        <w:rPr>
          <w:b w:val="0"/>
          <w:i w:val="0"/>
        </w:rPr>
        <w:t>, downloaded through the Tonic library</w:t>
      </w:r>
      <w:r>
        <w:t xml:space="preserve"> [26]</w:t>
      </w:r>
      <w:r>
        <w:rPr>
          <w:b w:val="0"/>
          <w:i w:val="0"/>
        </w:rPr>
        <w:t>. It contains recordings of RSOs and stars made with two event-camera models: 29 recordings from a 180 x 240-pixel sensor and 14 from a 240 x 304-pixel sensor. Ground truth is the published object annotation: an event is labelled as object if it lies within a 10 x 10-pixel box around an annotated position and within 10 ms of its timestamp; all other events are labelled as background. For each recording the analysis window was restricted to the annotated interval (plus 0.5 s on each side) and the central 200,000 events of that window were kept, giving 8,267,149 events in total. Recordings with fewer than 50 events in either class were excluded, leaving all 43 labelled recordings. The median event rate was 12.2 k events/s (range 3.3-85.7); the object fraction ranged from 0.12% to 15.6% (median 0.85%). No synthetic data enter this evaluation.</w:t>
      </w:r>
    </w:p>
    <w:p>
      <w:pPr>
        <w:keepNext/>
        <w:spacing w:before="160" w:after="80"/>
      </w:pPr>
      <w:r>
        <w:rPr>
          <w:rFonts w:ascii="Times New Roman" w:hAnsi="Times New Roman"/>
          <w:i/>
          <w:sz w:val="20"/>
        </w:rPr>
        <w:t>4.2. DND21: a third sensor with exact origin labels</w:t>
      </w:r>
    </w:p>
    <w:p>
      <w:pPr>
        <w:spacing w:after="120" w:before="0"/>
      </w:pPr>
      <w:r>
        <w:rPr>
          <w:b w:val="0"/>
          <w:i w:val="0"/>
        </w:rPr>
        <w:t>To test generalisation to a sensor, a scene type and a noise regime not seen in EBSSA, the label-free path was run unchanged on recordings of the DND21 benchmark of Guo and Delbruck</w:t>
      </w:r>
      <w:r>
        <w:t xml:space="preserve"> [4]</w:t>
      </w:r>
      <w:r>
        <w:rPr>
          <w:b w:val="0"/>
          <w:i w:val="0"/>
        </w:rPr>
        <w:t>, made with a DAVIS346 camera (346 x 260 pixels; W x H). DND21 follows the standard protocol of the denoising literature: a signal recording nearly free of background activity is mixed with measured sensor noise, so the origin of every event, and hence its label, is exact. We built the mixtures ourselves from the public files. Signal sources (4): hotel_bar: real DAVIS346 indoor scene (low-noise reference segment); driving: v2e rendering of a driving video, noise disabled; dots5: v2e, five barely visible moving dots, noise disabled; accel_dot: v2e, accelerating two-pixel dot, noise disabled; the two sparse synthetic targets are rendered with the v2e simulator</w:t>
      </w:r>
      <w:r>
        <w:t xml:space="preserve"> [27]</w:t>
      </w:r>
      <w:r>
        <w:rPr>
          <w:b w:val="0"/>
          <w:i w:val="0"/>
        </w:rPr>
        <w:t xml:space="preserve"> with its noise models disabled and are the closest analogue in DND21 to the point-like transits of EBSSA. Noise sources (2): the measured DAVIS346 recordings made with the lens capped (dark, 5.4 Hz per pixel) and under uniform illumination (light, 0.10 Hz per pixel). The dark recording was thinned by independent Bernoulli sampling to nominal per-pixel rates of 0.5, 1, 3, 5 Hz, and the light recording was used at its native rate, giving 5 noise conditions. From every signal source up to 5 evenly spaced windows of at most 1 s were cut and each was paired with a distinct slice of the noise recording, so that no noise event is reused; the window was shortened where necessary so that a mixture stays near 100,000 events, and mixtures were truncated to 200,000 events. This gave 80 mixtures of 10,320 to 153,274 events (7,017,992 in total), 0.09-1.00 s long, with signal fractions from 0.26% to 99.1% (median 42.8%); the signal fraction varies by design, because the same signal segment is mixed with noise at every nominal rate. Cross-validation is grouped by signal source (leave-one-scene-out, 4 folds), so a tuned or trained comparator never sees the scene it is scored on. Three parameterisations are reported for every gridded method: nested selection on the other DND21 scenes; the configuration selected on EBSSA, applied unchanged (no DND21 labels used); and, for the proposal and YNoise, the fixed label-free deployment path of Sections 3.5 and 3.6. These mixtures are synthetic combinations of two real recordings, not native annotations of a natural scene, and are described as such throughout.</w:t>
      </w:r>
    </w:p>
    <w:p>
      <w:pPr>
        <w:keepNext/>
        <w:spacing w:before="160" w:after="80"/>
      </w:pPr>
      <w:r>
        <w:rPr>
          <w:rFonts w:ascii="Times New Roman" w:hAnsi="Times New Roman"/>
          <w:i/>
          <w:sz w:val="20"/>
        </w:rPr>
        <w:t>4.3. Comparators, ablations and feasibility</w:t>
      </w:r>
    </w:p>
    <w:p>
      <w:pPr>
        <w:spacing w:after="120" w:before="0"/>
      </w:pPr>
      <w:r>
        <w:rPr>
          <w:b w:val="0"/>
          <w:i w:val="0"/>
        </w:rPr>
        <w:t>Supplementary Table S1 records, for each recent denoiser considered, its input and training requirements, whether public code exists and whether it could be run fairly under the common protocol (event-only input, exact or annotated labels, grouped cross-validation). Two supervised references were trained inside the folds with the labels of each dataset: an MLPF-style multilayer perceptron</w:t>
      </w:r>
      <w:r>
        <w:t xml:space="preserve"> [4]</w:t>
      </w:r>
      <w:r>
        <w:rPr>
          <w:b w:val="0"/>
          <w:i w:val="0"/>
        </w:rPr>
        <w:t xml:space="preserve"> and an EDnCNN-style convolutional network</w:t>
      </w:r>
      <w:r>
        <w:t xml:space="preserve"> [13]</w:t>
      </w:r>
      <w:r>
        <w:rPr>
          <w:b w:val="0"/>
          <w:i w:val="0"/>
        </w:rPr>
        <w:t xml:space="preserve"> on 98-dimensional time-surface patches (radius 3 pixels, time constant 50 ms, 8,000 events sampled per training recording); they are reimplementations trained on the labels available here, not the published weights. PFD was added on DND21 through a Python re-implementation of its PFD-A stage converted from a keep/reject rule into a ranking (the official C++ code assumes a 1280 x 720 array). AEDNet was run as a transfer test of a fixed model: its only released weights (a DVSCLEAN background-activity model for a 1280 x 720 sensor) were applied unchanged to both datasets on stratified event subsets, with the proposal and YNoise scored on the same subsets and on the full streams; the re-implemented patch construction reproduces the official loader and model on the authors' released sample (400 events; maximum absolute probability difference 0; protocol in the supplementary material), and its results are reported separately (Section 5.9). No public code or weights of WedNet were located, so it is listed, not scored. DVSNOISE20 was not used because its labels are model-derived probability masks rather than exact origins, and E-MLB because it has no per-event ground truth.</w:t>
      </w:r>
    </w:p>
    <w:p>
      <w:pPr>
        <w:spacing w:after="120" w:before="0"/>
      </w:pPr>
      <w:r>
        <w:rPr>
          <w:b w:val="0"/>
          <w:i w:val="0"/>
        </w:rPr>
        <w:t>On EBSSA, published unsupervised filters were re-implemented from their descriptions and their parameters selected by the same grouped cross-validation as those of the proposal, so that no comparator is handicapped by author defaults chosen for other sensors (7 filters): the background-activity filter</w:t>
      </w:r>
      <w:r>
        <w:t xml:space="preserve"> [9]</w:t>
      </w:r>
      <w:r>
        <w:rPr>
          <w:b w:val="0"/>
          <w:i w:val="0"/>
        </w:rPr>
        <w:t>, a nearest-neighbour filter</w:t>
      </w:r>
      <w:r>
        <w:t xml:space="preserve"> [28]</w:t>
      </w:r>
      <w:r>
        <w:rPr>
          <w:b w:val="0"/>
          <w:i w:val="0"/>
        </w:rPr>
        <w:t>, an event bilateral filter, a motion-compensated proxy, kNoise</w:t>
      </w:r>
      <w:r>
        <w:t xml:space="preserve"> [10]</w:t>
      </w:r>
      <w:r>
        <w:rPr>
          <w:b w:val="0"/>
          <w:i w:val="0"/>
        </w:rPr>
        <w:t>, the double-window filter (DWF)</w:t>
      </w:r>
      <w:r>
        <w:t xml:space="preserve"> [4]</w:t>
      </w:r>
      <w:r>
        <w:rPr>
          <w:b w:val="0"/>
          <w:i w:val="0"/>
        </w:rPr>
        <w:t xml:space="preserve"> and YNoise</w:t>
      </w:r>
      <w:r>
        <w:t xml:space="preserve"> [11]</w:t>
      </w:r>
      <w:r>
        <w:rPr>
          <w:b w:val="0"/>
          <w:i w:val="0"/>
        </w:rPr>
        <w:t>. Ablations isolate the two design choices of the proposal. A voxelised Poisson LR filter applies the same tail test to counts on a fixed time-bin x pixel grid, differing only in being frame-based. Event-driven forms of the bilateral and double-window filters use the same causal neighbourhood machinery as the proposal but replace the Poisson probability with the original heuristic score. Further event-driven alternatives (a gamma waiting-time test, a k-nearest-neighbour point-process test, a recursive rate tracker and a velocity-adaptive matched filter), a Fano-factor overdispersion score</w:t>
      </w:r>
      <w:r>
        <w:t xml:space="preserve"> [29]</w:t>
      </w:r>
      <w:r>
        <w:rPr>
          <w:b w:val="0"/>
          <w:i w:val="0"/>
        </w:rPr>
        <w:t xml:space="preserve"> (30 time bins; not causal) and a physics-informed network (PI-DC-DVS, 40 bins, 50 label-free epochs per recording) are reported at one fixed configuration each, since none has a published default; a multiscale variant combines the tail probabilities of three (r, W) scales with Fisher's method</w:t>
      </w:r>
      <w:r>
        <w:t xml:space="preserve"> [30]</w:t>
      </w:r>
      <w:r>
        <w:rPr>
          <w:b w:val="0"/>
          <w:i w:val="0"/>
        </w:rPr>
        <w:t xml:space="preserve"> and is used only in the operating-point analysis. All configurations are listed in the code repository.</w:t>
      </w:r>
    </w:p>
    <w:p>
      <w:pPr>
        <w:keepNext/>
        <w:spacing w:before="160" w:after="80"/>
      </w:pPr>
      <w:r>
        <w:rPr>
          <w:rFonts w:ascii="Times New Roman" w:hAnsi="Times New Roman"/>
          <w:i/>
          <w:sz w:val="20"/>
        </w:rPr>
        <w:t>4.4. Evaluation protocol</w:t>
      </w:r>
    </w:p>
    <w:p>
      <w:pPr>
        <w:spacing w:after="120" w:before="0"/>
      </w:pPr>
      <w:r>
        <w:rPr>
          <w:b w:val="0"/>
          <w:i w:val="0"/>
        </w:rPr>
        <w:t>The unit of analysis is the recording. Event-level ROC-AUC</w:t>
      </w:r>
      <w:r>
        <w:t xml:space="preserve"> [31]</w:t>
      </w:r>
      <w:r>
        <w:rPr>
          <w:b w:val="0"/>
          <w:i w:val="0"/>
        </w:rPr>
        <w:t xml:space="preserve"> against the labels was computed per recording and summarised as mean and standard deviation (SD) over recordings; F1, noise-removal rate (NRR; fraction of background events with P_i of at least 0.5) and signal-preservation rate (SPR) are also reported on EBSSA. Tunable parameters of the proposed detector (r in {2, 3}, W in {100, 150, 300} ms, q in {0.95, 0.99}; 12 combinations), of the voxelised ablation, of every published comparator and of the two event-driven ablations that share their form (grids of 6 to 12 combinations) were selected by grouped 4-fold cross-validation over recordings on EBSSA and by leave-one-scene-out cross-validation on DND21: the configuration with the highest mean AUC on the training folds was applied to the held-out fold, so every reported number for these methods is out of fold; the supervised networks used the same folds. The cross-validation gives every comparator its best fair configuration; in operation the proposed detector runs with one fixed configuration and sets its threshold from the false-alarm budget. Paired differences were tested with the two-sided Wilcoxon signed-rank test over recordings</w:t>
      </w:r>
      <w:r>
        <w:t xml:space="preserve"> [32]</w:t>
      </w:r>
      <w:r>
        <w:rPr>
          <w:b w:val="0"/>
          <w:i w:val="0"/>
        </w:rPr>
        <w:t>, with Holm adjustment within each family of comparisons (19 on EBSSA)</w:t>
      </w:r>
      <w:r>
        <w:t xml:space="preserve"> [33]</w:t>
      </w:r>
      <w:r>
        <w:rPr>
          <w:b w:val="0"/>
          <w:i w:val="0"/>
        </w:rPr>
        <w:t>. Because a p-value alone does not convey the size of a difference, every paired difference is also given with a 95% percentile bootstrap confidence interval (10,000 resamples)</w:t>
      </w:r>
      <w:r>
        <w:t xml:space="preserve"> [34]</w:t>
      </w:r>
      <w:r>
        <w:rPr>
          <w:b w:val="0"/>
          <w:i w:val="0"/>
        </w:rPr>
        <w:t xml:space="preserve"> and, in the supplementary material, with the matched-pairs rank-biserial correlation</w:t>
      </w:r>
      <w:r>
        <w:t xml:space="preserve"> [35]</w:t>
      </w:r>
      <w:r>
        <w:rPr>
          <w:b w:val="0"/>
          <w:i w:val="0"/>
        </w:rPr>
        <w:t xml:space="preserve"> as a standardised effect size. On DND21 the 80 mixtures are not independent (each signal segment is mixed with every noise condition, and only four signal sources exist). The mixture is retained as the unit of the primary test because the noise realisations differ, but the bootstrap resamples whole signal segments (16 clusters), each conclusion is checked at the segment level (mean AUC over the noise conditions of one segment, paired Wilcoxon over 16 segments), and the sign of the difference is reported per signal source without a test. Partial AUC below false-positive rates of 0.01 and 0.001 is reported in the standardised form of McClish</w:t>
      </w:r>
      <w:r>
        <w:t xml:space="preserve"> [36]</w:t>
      </w:r>
      <w:r>
        <w:rPr>
          <w:b w:val="0"/>
          <w:i w:val="0"/>
        </w:rPr>
        <w:t>, using scikit-learn</w:t>
      </w:r>
      <w:r>
        <w:t xml:space="preserve"> [37]</w:t>
      </w:r>
      <w:r>
        <w:rPr>
          <w:b w:val="0"/>
          <w:i w:val="0"/>
        </w:rPr>
        <w:t>. The random seed was fixed at 42. Stratified results by sensor and by event rate were not pre-specified and are reported as exploratory.</w:t>
      </w:r>
    </w:p>
    <w:p>
      <w:pPr>
        <w:keepNext/>
        <w:spacing w:before="160" w:after="80"/>
      </w:pPr>
      <w:r>
        <w:rPr>
          <w:rFonts w:ascii="Times New Roman" w:hAnsi="Times New Roman"/>
          <w:i/>
          <w:sz w:val="20"/>
        </w:rPr>
        <w:t>4.5. Cost versus sparsity</w:t>
      </w:r>
    </w:p>
    <w:p>
      <w:pPr>
        <w:spacing w:after="120" w:before="0"/>
      </w:pPr>
      <w:r>
        <w:rPr>
          <w:b w:val="0"/>
          <w:i w:val="0"/>
        </w:rPr>
        <w:t>A real EBSSA recording (200,000 events) was thinned by keeping a uniformly random fraction f of its events, f in {1, 0.5, 0.25, 0.1, 0.05, 0.02, 0.01}, while leaving the sensor array and the recording interval unchanged, so the voxel grid of the frame-based methods keeps its size; thinning a Poisson process yields a Poisson process</w:t>
      </w:r>
      <w:r>
        <w:t xml:space="preserve"> [23]</w:t>
      </w:r>
      <w:r>
        <w:rPr>
          <w:b w:val="0"/>
          <w:i w:val="0"/>
        </w:rPr>
        <w:t>. Wall-clock time and peak Python-level memory were recorded over 3 repeats after a warm-up call on a single processor core, and a cost exponent β was fitted by least squares on log-log axes:</w:t>
      </w:r>
    </w:p>
    <w:p>
      <w:pPr>
        <w:spacing w:before="120" w:after="120"/>
        <w:jc w:val="center"/>
      </w:pPr>
      <m:oMathPara>
        <m:oMath>
          <m:r>
            <m:t xml:space="preserve">T</m:t>
          </m:r>
          <m:d>
            <m:dPr>
              <m:begChr m:val="("/>
              <m:endChr m:val=")"/>
            </m:dPr>
            <m:e>
              <m:r>
                <m:t xml:space="preserve">f</m:t>
              </m:r>
            </m:e>
          </m:d>
          <m:r>
            <m:t xml:space="preserve"> ∝ </m:t>
          </m:r>
          <m:sSup>
            <m:e>
              <m:r>
                <m:t xml:space="preserve">f</m:t>
              </m:r>
            </m:e>
            <m:sup>
              <m:r>
                <m:t xml:space="preserve">β</m:t>
              </m:r>
            </m:sup>
          </m:sSup>
          <m:r>
            <m:rPr>
              <m:sty m:val="p"/>
            </m:rPr>
            <m:t xml:space="preserve">,      β = </m:t>
          </m:r>
          <m:f>
            <m:num>
              <m:r>
                <m:t xml:space="preserve">d log T</m:t>
              </m:r>
            </m:num>
            <m:den>
              <m:r>
                <m:t xml:space="preserve">d log f</m:t>
              </m:r>
            </m:den>
          </m:f>
        </m:oMath>
      </m:oMathPara>
      <w:r>
        <w:rPr>
          <w:sz w:val="20"/>
        </w:rPr>
        <w:t xml:space="preserve">    (7)</w:t>
      </w:r>
    </w:p>
    <w:p>
      <w:pPr>
        <w:spacing w:after="120" w:before="0"/>
      </w:pPr>
      <w:r>
        <w:rPr>
          <w:b w:val="0"/>
          <w:i w:val="0"/>
        </w:rPr>
        <w:t>An exponent near one means cost proportional to the number of events; near zero, cost fixed by the grid. The timings indicate scaling, not absolute throughput.</w:t>
      </w:r>
    </w:p>
    <w:p>
      <w:pPr>
        <w:keepNext/>
        <w:spacing w:before="160" w:after="80"/>
      </w:pPr>
      <w:r>
        <w:rPr>
          <w:rFonts w:ascii="Times New Roman" w:hAnsi="Times New Roman"/>
          <w:i/>
          <w:sz w:val="20"/>
        </w:rPr>
        <w:t>4.6. Zero-knowledge protocol on EBSSA</w:t>
      </w:r>
    </w:p>
    <w:p>
      <w:pPr>
        <w:spacing w:after="120" w:before="0"/>
      </w:pPr>
      <w:r>
        <w:rPr>
          <w:b w:val="0"/>
          <w:i w:val="0"/>
        </w:rPr>
        <w:t>The cross-validation of Section 4.4 still lets each method see labelled recordings from both sensor models. To emulate a new instrument, the two models were treated as source and target (29 and 14 recordings) in both directions. (A) Configuration transfer: the configuration with the highest mean AUC on the source sensor was applied unchanged to the target, and the AUC lost relative to the best configuration on the target itself was recorded (an optimistic, label-selected reference). (B) No tuning: every method was run at one fixed configuration (publication defaults for the comparators; fixed-window and rate-adaptive forms of the proposal). (C) Threshold transfer: for a requested budget α in {0.001, 0.01, 0.05} a numerical threshold fixed on the source sensor was applied to the target recordings and compared with the label-free recalibration of Eq. (5) on each target stream. With two sensor models the transfer directions are two case studies, which is why the third-sensor evaluation of Section 4.2 was added.</w:t>
      </w:r>
    </w:p>
    <w:p>
      <w:pPr>
        <w:keepNext/>
        <w:spacing w:before="160" w:after="80"/>
      </w:pPr>
      <w:r>
        <w:rPr>
          <w:rFonts w:ascii="Times New Roman" w:hAnsi="Times New Roman"/>
          <w:i/>
          <w:sz w:val="20"/>
        </w:rPr>
        <w:t>4.7. Hand-over and cascade protocol</w:t>
      </w:r>
    </w:p>
    <w:p>
      <w:pPr>
        <w:spacing w:after="120" w:before="0"/>
      </w:pPr>
      <w:r>
        <w:rPr>
          <w:b w:val="0"/>
          <w:i w:val="0"/>
        </w:rPr>
        <w:t>On EBSSA, YNoise was run on the whole stream with dt = W (hand-over) and compared with its published default and with its label-tuned cross-validated value; the two-stage cascade was run for f in {0.02, 0.05, 0.1, 0.2, 0.5} with stage 2 parameterised by the hand-over, by the published default and by a pseudo-label choice (the grid point that best separated the passed from the rejected events; labels not used). We report AUC, achieved false-positive and detection rates at the budgets of Section 3.4 and the wall-clock time of each stage relative to YNoise on the whole stream, with Wilcoxon tests on paired per-recording AUC. For a visual check, one recording per sensor model was selected by a fixed rule (stage-1 AUC closest to the sensor median; shown in the supplementary material). On DND21 the same hand-over and the cascade with f in {0.1, 0.2} were run unchanged.</w:t>
      </w:r>
    </w:p>
    <w:p>
      <w:pPr>
        <w:keepNext/>
        <w:spacing w:before="240" w:after="80"/>
      </w:pPr>
      <w:r>
        <w:rPr>
          <w:rFonts w:ascii="Times New Roman" w:hAnsi="Times New Roman"/>
          <w:b/>
          <w:sz w:val="20"/>
        </w:rPr>
        <w:t>5. Results</w:t>
      </w:r>
    </w:p>
    <w:p>
      <w:pPr>
        <w:keepNext/>
        <w:spacing w:before="160" w:after="80"/>
      </w:pPr>
      <w:r>
        <w:rPr>
          <w:rFonts w:ascii="Times New Roman" w:hAnsi="Times New Roman"/>
          <w:i/>
          <w:sz w:val="20"/>
        </w:rPr>
        <w:t>5.1. Detection performance on EBSSA</w:t>
      </w:r>
    </w:p>
    <w:p>
      <w:pPr>
        <w:spacing w:after="120" w:before="0"/>
      </w:pPr>
      <w:r>
        <w:rPr>
          <w:b w:val="0"/>
          <w:i w:val="0"/>
        </w:rPr>
        <w:t>Table 1 lists the mean AUC of every method over the 43 recordings, and Fig. 2 shows the same values with their spread. The proposed detector reached an AUC of 0.753 ± 0.157, -0.091 (95% CI [-0.123, -0.058]) from label-tuned YNoise and -0.070 (95% CI [-0.096, -0.043]) from the EDnCNN-style network. With every published filter tuned by the same grouped cross-validation, 3 of the 7 were statistically indistinguishable from it (mean paired difference of the proposal minus the comparator and Holm-adjusted p: event bilateral filter 0.801 (-0.049, p = 0.308), motion-compensated proxy 0.735 (+0.017, p = 1.000), DWF 0.758 (-0.006, p = 1.000)), 1 was significantly higher (YNoise 0.844 (-0.091, p &lt; 0.001)) and 3 were significantly lower (background-activity filter 0.693 (+0.060, p &lt; 0.001), nearest-neighbour filter 0.655 (+0.098, p = 0.003), kNoise 0.623 (+0.130, p &lt; 0.001)). The supervised networks were higher still: MLPF-style 0.813 and EDnCNN-style 0.823 (differences -0.061 and -0.070; Holm-adjusted p = 0.002 and p &lt; 0.001). The unsupervised detector alone is therefore in the group of the stronger heuristic filters rather than above it: when the comparators are given labels to tune their time constants and radii, the best of them, YNoise, exceeds it, and the label-trained networks exceed both (standardised effect sizes in Supplementary Table S2). The column "AUC, no labels" of Table 1 and the open circles of Fig. 2 give the other side: at one fixed configuration chosen without labels, the rate-adaptive proposal reached 0.781 against 0.738 for YNoise and 0.774 for the bilateral filter at their published defaults (Section 5.6). Sections 5.5-5.7 show what the detector adds to this picture without labels.</w:t>
      </w:r>
    </w:p>
    <w:p>
      <w:pPr>
        <w:sectPr>
          <w:footerReference w:type="default" r:id="rId9"/>
          <w:pgSz w:w="11906" w:h="16838"/>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1. Event-level detection performance on the 43 labelled EBSSA recordings (mean over recordings; AUC also with SD). Labels used: how the labels entered the main AUC, F1, NRR and SPR columns, to tune the configuration by grouped cross-validation (tuning) or to train the model (training); no method in these columns is label-free. AUC, no labels: mean AUC of the same method at one fixed configuration chosen without labels (the published default of each filter, the deployment configuration of the proposal; Section 5.6), where such a configuration exists. ΔAUC is the mean paired difference of the proposed detector minus the comparator, both label-tuned, with its 95% bootstrap confidence interval (CI); p is the Holm-adjusted two-sided Wilcoxon signed-rank p-value. NRR: noise-removal rate; SPR: signal-preservation rate at a probability threshold of 0.5. Rows are grouped as proposed (fixed window; rate-adaptive window), published unsupervised filters, event-driven ablations, frame-based and label-free learned ablations, and supervised references.</w:t>
      </w:r>
    </w:p>
    <w:tbl>
      <w:tblPr>
        <w:tblStyle w:val="TableGrid"/>
        <w:tblW w:type="auto" w:w="0"/>
        <w:tblLayout w:type="fixed"/>
        <w:tblLook w:firstColumn="1" w:firstRow="1" w:lastColumn="0" w:lastRow="0" w:noHBand="0" w:noVBand="1" w:val="04A0"/>
      </w:tblPr>
      <w:tblGrid>
        <w:gridCol w:w="3034"/>
        <w:gridCol w:w="809"/>
        <w:gridCol w:w="1416"/>
        <w:gridCol w:w="809"/>
        <w:gridCol w:w="674"/>
        <w:gridCol w:w="674"/>
        <w:gridCol w:w="674"/>
        <w:gridCol w:w="809"/>
        <w:gridCol w:w="1821"/>
        <w:gridCol w:w="674"/>
      </w:tblGrid>
      <w:tr>
        <w:tc>
          <w:tcPr>
            <w:tcW w:type="dxa" w:w="3034"/>
          </w:tcPr>
          <w:p>
            <w:pPr>
              <w:spacing w:line="240" w:lineRule="auto" w:after="0"/>
            </w:pPr>
            <w:r/>
            <w:r>
              <w:rPr>
                <w:b/>
                <w:sz w:val="20"/>
              </w:rPr>
              <w:t>Method</w:t>
            </w:r>
          </w:p>
        </w:tc>
        <w:tc>
          <w:tcPr>
            <w:tcW w:type="dxa" w:w="809"/>
          </w:tcPr>
          <w:p>
            <w:pPr>
              <w:spacing w:line="240" w:lineRule="auto" w:after="0"/>
            </w:pPr>
            <w:r/>
            <w:r>
              <w:rPr>
                <w:b/>
                <w:sz w:val="20"/>
              </w:rPr>
              <w:t>Labels used</w:t>
            </w:r>
          </w:p>
        </w:tc>
        <w:tc>
          <w:tcPr>
            <w:tcW w:type="dxa" w:w="1416"/>
          </w:tcPr>
          <w:p>
            <w:pPr>
              <w:spacing w:line="240" w:lineRule="auto" w:after="0"/>
            </w:pPr>
            <w:r/>
            <w:r>
              <w:rPr>
                <w:b/>
                <w:sz w:val="20"/>
              </w:rPr>
              <w:t>AUC (mean ± SD)</w:t>
            </w:r>
          </w:p>
        </w:tc>
        <w:tc>
          <w:tcPr>
            <w:tcW w:type="dxa" w:w="809"/>
          </w:tcPr>
          <w:p>
            <w:pPr>
              <w:spacing w:line="240" w:lineRule="auto" w:after="0"/>
            </w:pPr>
            <w:r/>
            <w:r>
              <w:rPr>
                <w:b/>
                <w:sz w:val="20"/>
              </w:rPr>
              <w:t>AUC, no labels</w:t>
            </w:r>
          </w:p>
        </w:tc>
        <w:tc>
          <w:tcPr>
            <w:tcW w:type="dxa" w:w="674"/>
          </w:tcPr>
          <w:p>
            <w:pPr>
              <w:spacing w:line="240" w:lineRule="auto" w:after="0"/>
            </w:pPr>
            <w:r/>
            <w:r>
              <w:rPr>
                <w:b/>
                <w:sz w:val="20"/>
              </w:rPr>
              <w:t>F1</w:t>
            </w:r>
          </w:p>
        </w:tc>
        <w:tc>
          <w:tcPr>
            <w:tcW w:type="dxa" w:w="674"/>
          </w:tcPr>
          <w:p>
            <w:pPr>
              <w:spacing w:line="240" w:lineRule="auto" w:after="0"/>
            </w:pPr>
            <w:r/>
            <w:r>
              <w:rPr>
                <w:b/>
                <w:sz w:val="20"/>
              </w:rPr>
              <w:t>NRR</w:t>
            </w:r>
          </w:p>
        </w:tc>
        <w:tc>
          <w:tcPr>
            <w:tcW w:type="dxa" w:w="674"/>
          </w:tcPr>
          <w:p>
            <w:pPr>
              <w:spacing w:line="240" w:lineRule="auto" w:after="0"/>
            </w:pPr>
            <w:r/>
            <w:r>
              <w:rPr>
                <w:b/>
                <w:sz w:val="20"/>
              </w:rPr>
              <w:t>SPR</w:t>
            </w:r>
          </w:p>
        </w:tc>
        <w:tc>
          <w:tcPr>
            <w:tcW w:type="dxa" w:w="809"/>
          </w:tcPr>
          <w:p>
            <w:pPr>
              <w:spacing w:line="240" w:lineRule="auto" w:after="0"/>
            </w:pPr>
            <w:r/>
            <w:r>
              <w:rPr>
                <w:b/>
                <w:sz w:val="20"/>
              </w:rPr>
              <w:t>ΔAUC</w:t>
            </w:r>
          </w:p>
        </w:tc>
        <w:tc>
          <w:tcPr>
            <w:tcW w:type="dxa" w:w="1821"/>
          </w:tcPr>
          <w:p>
            <w:pPr>
              <w:spacing w:line="240" w:lineRule="auto" w:after="0"/>
            </w:pPr>
            <w:r/>
            <w:r>
              <w:rPr>
                <w:b/>
                <w:sz w:val="20"/>
              </w:rPr>
              <w:t>95% CI</w:t>
            </w:r>
          </w:p>
        </w:tc>
        <w:tc>
          <w:tcPr>
            <w:tcW w:type="dxa" w:w="674"/>
          </w:tcPr>
          <w:p>
            <w:pPr>
              <w:spacing w:line="240" w:lineRule="auto" w:after="0"/>
            </w:pPr>
            <w:r/>
            <w:r>
              <w:rPr>
                <w:b/>
                <w:sz w:val="20"/>
              </w:rPr>
              <w:t>p (Holm)</w:t>
            </w:r>
          </w:p>
        </w:tc>
      </w:tr>
      <w:tr>
        <w:tc>
          <w:tcPr>
            <w:tcW w:type="dxa" w:w="3034"/>
          </w:tcPr>
          <w:p>
            <w:pPr>
              <w:spacing w:line="240" w:lineRule="auto" w:after="0"/>
            </w:pPr>
            <w:r/>
            <w:r>
              <w:rPr>
                <w:sz w:val="20"/>
              </w:rPr>
              <w:t>Event-driven Poisson LR filter (proposed)</w:t>
            </w:r>
          </w:p>
        </w:tc>
        <w:tc>
          <w:tcPr>
            <w:tcW w:type="dxa" w:w="809"/>
          </w:tcPr>
          <w:p>
            <w:pPr>
              <w:spacing w:line="240" w:lineRule="auto" w:after="0"/>
            </w:pPr>
            <w:r/>
            <w:r>
              <w:rPr>
                <w:sz w:val="20"/>
              </w:rPr>
              <w:t>tuning</w:t>
            </w:r>
          </w:p>
        </w:tc>
        <w:tc>
          <w:tcPr>
            <w:tcW w:type="dxa" w:w="1416"/>
          </w:tcPr>
          <w:p>
            <w:pPr>
              <w:spacing w:line="240" w:lineRule="auto" w:after="0"/>
            </w:pPr>
            <w:r/>
            <w:r>
              <w:rPr>
                <w:sz w:val="20"/>
              </w:rPr>
              <w:t>0.753 ± 0.157</w:t>
            </w:r>
          </w:p>
        </w:tc>
        <w:tc>
          <w:tcPr>
            <w:tcW w:type="dxa" w:w="809"/>
          </w:tcPr>
          <w:p>
            <w:pPr>
              <w:spacing w:line="240" w:lineRule="auto" w:after="0"/>
            </w:pPr>
            <w:r/>
            <w:r>
              <w:rPr>
                <w:sz w:val="20"/>
              </w:rPr>
              <w:t>0.754</w:t>
            </w:r>
          </w:p>
        </w:tc>
        <w:tc>
          <w:tcPr>
            <w:tcW w:type="dxa" w:w="674"/>
          </w:tcPr>
          <w:p>
            <w:pPr>
              <w:spacing w:line="240" w:lineRule="auto" w:after="0"/>
            </w:pPr>
            <w:r/>
            <w:r>
              <w:rPr>
                <w:sz w:val="20"/>
              </w:rPr>
              <w:t>0.204</w:t>
            </w:r>
          </w:p>
        </w:tc>
        <w:tc>
          <w:tcPr>
            <w:tcW w:type="dxa" w:w="674"/>
          </w:tcPr>
          <w:p>
            <w:pPr>
              <w:spacing w:line="240" w:lineRule="auto" w:after="0"/>
            </w:pPr>
            <w:r/>
            <w:r>
              <w:rPr>
                <w:sz w:val="20"/>
              </w:rPr>
              <w:t>0.979</w:t>
            </w:r>
          </w:p>
        </w:tc>
        <w:tc>
          <w:tcPr>
            <w:tcW w:type="dxa" w:w="674"/>
          </w:tcPr>
          <w:p>
            <w:pPr>
              <w:spacing w:line="240" w:lineRule="auto" w:after="0"/>
            </w:pPr>
            <w:r/>
            <w:r>
              <w:rPr>
                <w:sz w:val="20"/>
              </w:rPr>
              <w:t>0.269</w:t>
            </w:r>
          </w:p>
        </w:tc>
        <w:tc>
          <w:tcPr>
            <w:tcW w:type="dxa" w:w="809"/>
          </w:tcPr>
          <w:p>
            <w:pPr>
              <w:spacing w:line="240" w:lineRule="auto" w:after="0"/>
            </w:pPr>
            <w:r/>
            <w:r>
              <w:rPr>
                <w:sz w:val="20"/>
              </w:rPr>
              <w:t>-</w:t>
            </w:r>
          </w:p>
        </w:tc>
        <w:tc>
          <w:tcPr>
            <w:tcW w:type="dxa" w:w="1821"/>
          </w:tcPr>
          <w:p>
            <w:pPr>
              <w:spacing w:line="240" w:lineRule="auto" w:after="0"/>
            </w:pPr>
            <w:r/>
            <w:r>
              <w:rPr>
                <w:sz w:val="20"/>
              </w:rPr>
              <w:t>-</w:t>
            </w:r>
          </w:p>
        </w:tc>
        <w:tc>
          <w:tcPr>
            <w:tcW w:type="dxa" w:w="674"/>
          </w:tcPr>
          <w:p>
            <w:pPr>
              <w:spacing w:line="240" w:lineRule="auto" w:after="0"/>
            </w:pPr>
            <w:r/>
            <w:r>
              <w:rPr>
                <w:sz w:val="20"/>
              </w:rPr>
              <w:t>-</w:t>
            </w:r>
          </w:p>
        </w:tc>
      </w:tr>
      <w:tr>
        <w:tc>
          <w:tcPr>
            <w:tcW w:type="dxa" w:w="3034"/>
          </w:tcPr>
          <w:p>
            <w:pPr>
              <w:spacing w:line="240" w:lineRule="auto" w:after="0"/>
            </w:pPr>
            <w:r/>
            <w:r>
              <w:rPr>
                <w:sz w:val="20"/>
              </w:rPr>
              <w:t>Event-driven Poisson LR filter, rate-adaptive window (proposed)</w:t>
            </w:r>
          </w:p>
        </w:tc>
        <w:tc>
          <w:tcPr>
            <w:tcW w:type="dxa" w:w="809"/>
          </w:tcPr>
          <w:p>
            <w:pPr>
              <w:spacing w:line="240" w:lineRule="auto" w:after="0"/>
            </w:pPr>
            <w:r/>
            <w:r>
              <w:rPr>
                <w:sz w:val="20"/>
              </w:rPr>
              <w:t>tuning</w:t>
            </w:r>
          </w:p>
        </w:tc>
        <w:tc>
          <w:tcPr>
            <w:tcW w:type="dxa" w:w="1416"/>
          </w:tcPr>
          <w:p>
            <w:pPr>
              <w:spacing w:line="240" w:lineRule="auto" w:after="0"/>
            </w:pPr>
            <w:r/>
            <w:r>
              <w:rPr>
                <w:sz w:val="20"/>
              </w:rPr>
              <w:t>0.774 ± 0.175</w:t>
            </w:r>
          </w:p>
        </w:tc>
        <w:tc>
          <w:tcPr>
            <w:tcW w:type="dxa" w:w="809"/>
          </w:tcPr>
          <w:p>
            <w:pPr>
              <w:spacing w:line="240" w:lineRule="auto" w:after="0"/>
            </w:pPr>
            <w:r/>
            <w:r>
              <w:rPr>
                <w:sz w:val="20"/>
              </w:rPr>
              <w:t>0.781</w:t>
            </w:r>
          </w:p>
        </w:tc>
        <w:tc>
          <w:tcPr>
            <w:tcW w:type="dxa" w:w="674"/>
          </w:tcPr>
          <w:p>
            <w:pPr>
              <w:spacing w:line="240" w:lineRule="auto" w:after="0"/>
            </w:pPr>
            <w:r/>
            <w:r>
              <w:rPr>
                <w:sz w:val="20"/>
              </w:rPr>
              <w:t>0.205</w:t>
            </w:r>
          </w:p>
        </w:tc>
        <w:tc>
          <w:tcPr>
            <w:tcW w:type="dxa" w:w="674"/>
          </w:tcPr>
          <w:p>
            <w:pPr>
              <w:spacing w:line="240" w:lineRule="auto" w:after="0"/>
            </w:pPr>
            <w:r/>
            <w:r>
              <w:rPr>
                <w:sz w:val="20"/>
              </w:rPr>
              <w:t>0.990</w:t>
            </w:r>
          </w:p>
        </w:tc>
        <w:tc>
          <w:tcPr>
            <w:tcW w:type="dxa" w:w="674"/>
          </w:tcPr>
          <w:p>
            <w:pPr>
              <w:spacing w:line="240" w:lineRule="auto" w:after="0"/>
            </w:pPr>
            <w:r/>
            <w:r>
              <w:rPr>
                <w:sz w:val="20"/>
              </w:rPr>
              <w:t>0.211</w:t>
            </w:r>
          </w:p>
        </w:tc>
        <w:tc>
          <w:tcPr>
            <w:tcW w:type="dxa" w:w="809"/>
          </w:tcPr>
          <w:p>
            <w:pPr>
              <w:spacing w:line="240" w:lineRule="auto" w:after="0"/>
            </w:pPr>
            <w:r/>
            <w:r>
              <w:rPr>
                <w:sz w:val="20"/>
              </w:rPr>
              <w:t>-0.022</w:t>
            </w:r>
          </w:p>
        </w:tc>
        <w:tc>
          <w:tcPr>
            <w:tcW w:type="dxa" w:w="1821"/>
          </w:tcPr>
          <w:p>
            <w:pPr>
              <w:spacing w:line="240" w:lineRule="auto" w:after="0"/>
            </w:pPr>
            <w:r/>
            <w:r>
              <w:rPr>
                <w:sz w:val="20"/>
              </w:rPr>
              <w:t>[-0.044, +0.002]</w:t>
            </w:r>
          </w:p>
        </w:tc>
        <w:tc>
          <w:tcPr>
            <w:tcW w:type="dxa" w:w="674"/>
          </w:tcPr>
          <w:p>
            <w:pPr>
              <w:spacing w:line="240" w:lineRule="auto" w:after="0"/>
            </w:pPr>
            <w:r/>
            <w:r>
              <w:rPr>
                <w:sz w:val="20"/>
              </w:rPr>
              <w:t>0.041</w:t>
            </w:r>
          </w:p>
        </w:tc>
      </w:tr>
      <w:tr>
        <w:tc>
          <w:tcPr>
            <w:tcW w:type="dxa" w:w="3034"/>
          </w:tcPr>
          <w:p>
            <w:pPr>
              <w:spacing w:line="240" w:lineRule="auto" w:after="0"/>
            </w:pPr>
            <w:r/>
            <w:r>
              <w:rPr>
                <w:sz w:val="20"/>
              </w:rPr>
              <w:t>Event bilateral filter</w:t>
            </w:r>
          </w:p>
        </w:tc>
        <w:tc>
          <w:tcPr>
            <w:tcW w:type="dxa" w:w="809"/>
          </w:tcPr>
          <w:p>
            <w:pPr>
              <w:spacing w:line="240" w:lineRule="auto" w:after="0"/>
            </w:pPr>
            <w:r/>
            <w:r>
              <w:rPr>
                <w:sz w:val="20"/>
              </w:rPr>
              <w:t>tuning</w:t>
            </w:r>
          </w:p>
        </w:tc>
        <w:tc>
          <w:tcPr>
            <w:tcW w:type="dxa" w:w="1416"/>
          </w:tcPr>
          <w:p>
            <w:pPr>
              <w:spacing w:line="240" w:lineRule="auto" w:after="0"/>
            </w:pPr>
            <w:r/>
            <w:r>
              <w:rPr>
                <w:sz w:val="20"/>
              </w:rPr>
              <w:t>0.801 ± 0.158</w:t>
            </w:r>
          </w:p>
        </w:tc>
        <w:tc>
          <w:tcPr>
            <w:tcW w:type="dxa" w:w="809"/>
          </w:tcPr>
          <w:p>
            <w:pPr>
              <w:spacing w:line="240" w:lineRule="auto" w:after="0"/>
            </w:pPr>
            <w:r/>
            <w:r>
              <w:rPr>
                <w:sz w:val="20"/>
              </w:rPr>
              <w:t>0.774</w:t>
            </w:r>
          </w:p>
        </w:tc>
        <w:tc>
          <w:tcPr>
            <w:tcW w:type="dxa" w:w="674"/>
          </w:tcPr>
          <w:p>
            <w:pPr>
              <w:spacing w:line="240" w:lineRule="auto" w:after="0"/>
            </w:pPr>
            <w:r/>
            <w:r>
              <w:rPr>
                <w:sz w:val="20"/>
              </w:rPr>
              <w:t>0.069</w:t>
            </w:r>
          </w:p>
        </w:tc>
        <w:tc>
          <w:tcPr>
            <w:tcW w:type="dxa" w:w="674"/>
          </w:tcPr>
          <w:p>
            <w:pPr>
              <w:spacing w:line="240" w:lineRule="auto" w:after="0"/>
            </w:pPr>
            <w:r/>
            <w:r>
              <w:rPr>
                <w:sz w:val="20"/>
              </w:rPr>
              <w:t>0.568</w:t>
            </w:r>
          </w:p>
        </w:tc>
        <w:tc>
          <w:tcPr>
            <w:tcW w:type="dxa" w:w="674"/>
          </w:tcPr>
          <w:p>
            <w:pPr>
              <w:spacing w:line="240" w:lineRule="auto" w:after="0"/>
            </w:pPr>
            <w:r/>
            <w:r>
              <w:rPr>
                <w:sz w:val="20"/>
              </w:rPr>
              <w:t>0.843</w:t>
            </w:r>
          </w:p>
        </w:tc>
        <w:tc>
          <w:tcPr>
            <w:tcW w:type="dxa" w:w="809"/>
          </w:tcPr>
          <w:p>
            <w:pPr>
              <w:spacing w:line="240" w:lineRule="auto" w:after="0"/>
            </w:pPr>
            <w:r/>
            <w:r>
              <w:rPr>
                <w:sz w:val="20"/>
              </w:rPr>
              <w:t>-0.049</w:t>
            </w:r>
          </w:p>
        </w:tc>
        <w:tc>
          <w:tcPr>
            <w:tcW w:type="dxa" w:w="1821"/>
          </w:tcPr>
          <w:p>
            <w:pPr>
              <w:spacing w:line="240" w:lineRule="auto" w:after="0"/>
            </w:pPr>
            <w:r/>
            <w:r>
              <w:rPr>
                <w:sz w:val="20"/>
              </w:rPr>
              <w:t>[-0.093, -0.007]</w:t>
            </w:r>
          </w:p>
        </w:tc>
        <w:tc>
          <w:tcPr>
            <w:tcW w:type="dxa" w:w="674"/>
          </w:tcPr>
          <w:p>
            <w:pPr>
              <w:spacing w:line="240" w:lineRule="auto" w:after="0"/>
            </w:pPr>
            <w:r/>
            <w:r>
              <w:rPr>
                <w:sz w:val="20"/>
              </w:rPr>
              <w:t>0.308</w:t>
            </w:r>
          </w:p>
        </w:tc>
      </w:tr>
      <w:tr>
        <w:tc>
          <w:tcPr>
            <w:tcW w:type="dxa" w:w="3034"/>
          </w:tcPr>
          <w:p>
            <w:pPr>
              <w:spacing w:line="240" w:lineRule="auto" w:after="0"/>
            </w:pPr>
            <w:r/>
            <w:r>
              <w:rPr>
                <w:sz w:val="20"/>
              </w:rPr>
              <w:t>YNoise</w:t>
            </w:r>
          </w:p>
        </w:tc>
        <w:tc>
          <w:tcPr>
            <w:tcW w:type="dxa" w:w="809"/>
          </w:tcPr>
          <w:p>
            <w:pPr>
              <w:spacing w:line="240" w:lineRule="auto" w:after="0"/>
            </w:pPr>
            <w:r/>
            <w:r>
              <w:rPr>
                <w:sz w:val="20"/>
              </w:rPr>
              <w:t>tuning</w:t>
            </w:r>
          </w:p>
        </w:tc>
        <w:tc>
          <w:tcPr>
            <w:tcW w:type="dxa" w:w="1416"/>
          </w:tcPr>
          <w:p>
            <w:pPr>
              <w:spacing w:line="240" w:lineRule="auto" w:after="0"/>
            </w:pPr>
            <w:r/>
            <w:r>
              <w:rPr>
                <w:sz w:val="20"/>
              </w:rPr>
              <w:t>0.844 ± 0.124</w:t>
            </w:r>
          </w:p>
        </w:tc>
        <w:tc>
          <w:tcPr>
            <w:tcW w:type="dxa" w:w="809"/>
          </w:tcPr>
          <w:p>
            <w:pPr>
              <w:spacing w:line="240" w:lineRule="auto" w:after="0"/>
            </w:pPr>
            <w:r/>
            <w:r>
              <w:rPr>
                <w:sz w:val="20"/>
              </w:rPr>
              <w:t>0.738</w:t>
            </w:r>
          </w:p>
        </w:tc>
        <w:tc>
          <w:tcPr>
            <w:tcW w:type="dxa" w:w="674"/>
          </w:tcPr>
          <w:p>
            <w:pPr>
              <w:spacing w:line="240" w:lineRule="auto" w:after="0"/>
            </w:pPr>
            <w:r/>
            <w:r>
              <w:rPr>
                <w:sz w:val="20"/>
              </w:rPr>
              <w:t>0.075</w:t>
            </w:r>
          </w:p>
        </w:tc>
        <w:tc>
          <w:tcPr>
            <w:tcW w:type="dxa" w:w="674"/>
          </w:tcPr>
          <w:p>
            <w:pPr>
              <w:spacing w:line="240" w:lineRule="auto" w:after="0"/>
            </w:pPr>
            <w:r/>
            <w:r>
              <w:rPr>
                <w:sz w:val="20"/>
              </w:rPr>
              <w:t>0.631</w:t>
            </w:r>
          </w:p>
        </w:tc>
        <w:tc>
          <w:tcPr>
            <w:tcW w:type="dxa" w:w="674"/>
          </w:tcPr>
          <w:p>
            <w:pPr>
              <w:spacing w:line="240" w:lineRule="auto" w:after="0"/>
            </w:pPr>
            <w:r/>
            <w:r>
              <w:rPr>
                <w:sz w:val="20"/>
              </w:rPr>
              <w:t>0.823</w:t>
            </w:r>
          </w:p>
        </w:tc>
        <w:tc>
          <w:tcPr>
            <w:tcW w:type="dxa" w:w="809"/>
          </w:tcPr>
          <w:p>
            <w:pPr>
              <w:spacing w:line="240" w:lineRule="auto" w:after="0"/>
            </w:pPr>
            <w:r/>
            <w:r>
              <w:rPr>
                <w:sz w:val="20"/>
              </w:rPr>
              <w:t>-0.091</w:t>
            </w:r>
          </w:p>
        </w:tc>
        <w:tc>
          <w:tcPr>
            <w:tcW w:type="dxa" w:w="1821"/>
          </w:tcPr>
          <w:p>
            <w:pPr>
              <w:spacing w:line="240" w:lineRule="auto" w:after="0"/>
            </w:pPr>
            <w:r/>
            <w:r>
              <w:rPr>
                <w:sz w:val="20"/>
              </w:rPr>
              <w:t>[-0.123, -0.058]</w:t>
            </w:r>
          </w:p>
        </w:tc>
        <w:tc>
          <w:tcPr>
            <w:tcW w:type="dxa" w:w="674"/>
          </w:tcPr>
          <w:p>
            <w:pPr>
              <w:spacing w:line="240" w:lineRule="auto" w:after="0"/>
            </w:pPr>
            <w:r/>
            <w:r>
              <w:rPr>
                <w:sz w:val="20"/>
              </w:rPr>
              <w:t>&lt;0.001</w:t>
            </w:r>
          </w:p>
        </w:tc>
      </w:tr>
      <w:tr>
        <w:tc>
          <w:tcPr>
            <w:tcW w:type="dxa" w:w="3034"/>
          </w:tcPr>
          <w:p>
            <w:pPr>
              <w:spacing w:line="240" w:lineRule="auto" w:after="0"/>
            </w:pPr>
            <w:r/>
            <w:r>
              <w:rPr>
                <w:sz w:val="20"/>
              </w:rPr>
              <w:t>Motion-compensated proxy</w:t>
            </w:r>
          </w:p>
        </w:tc>
        <w:tc>
          <w:tcPr>
            <w:tcW w:type="dxa" w:w="809"/>
          </w:tcPr>
          <w:p>
            <w:pPr>
              <w:spacing w:line="240" w:lineRule="auto" w:after="0"/>
            </w:pPr>
            <w:r/>
            <w:r>
              <w:rPr>
                <w:sz w:val="20"/>
              </w:rPr>
              <w:t>tuning</w:t>
            </w:r>
          </w:p>
        </w:tc>
        <w:tc>
          <w:tcPr>
            <w:tcW w:type="dxa" w:w="1416"/>
          </w:tcPr>
          <w:p>
            <w:pPr>
              <w:spacing w:line="240" w:lineRule="auto" w:after="0"/>
            </w:pPr>
            <w:r/>
            <w:r>
              <w:rPr>
                <w:sz w:val="20"/>
              </w:rPr>
              <w:t>0.735 ± 0.179</w:t>
            </w:r>
          </w:p>
        </w:tc>
        <w:tc>
          <w:tcPr>
            <w:tcW w:type="dxa" w:w="809"/>
          </w:tcPr>
          <w:p>
            <w:pPr>
              <w:spacing w:line="240" w:lineRule="auto" w:after="0"/>
            </w:pPr>
            <w:r/>
            <w:r>
              <w:rPr>
                <w:sz w:val="20"/>
              </w:rPr>
              <w:t>-</w:t>
            </w:r>
          </w:p>
        </w:tc>
        <w:tc>
          <w:tcPr>
            <w:tcW w:type="dxa" w:w="674"/>
          </w:tcPr>
          <w:p>
            <w:pPr>
              <w:spacing w:line="240" w:lineRule="auto" w:after="0"/>
            </w:pPr>
            <w:r/>
            <w:r>
              <w:rPr>
                <w:sz w:val="20"/>
              </w:rPr>
              <w:t>0.064</w:t>
            </w:r>
          </w:p>
        </w:tc>
        <w:tc>
          <w:tcPr>
            <w:tcW w:type="dxa" w:w="674"/>
          </w:tcPr>
          <w:p>
            <w:pPr>
              <w:spacing w:line="240" w:lineRule="auto" w:after="0"/>
            </w:pPr>
            <w:r/>
            <w:r>
              <w:rPr>
                <w:sz w:val="20"/>
              </w:rPr>
              <w:t>0.561</w:t>
            </w:r>
          </w:p>
        </w:tc>
        <w:tc>
          <w:tcPr>
            <w:tcW w:type="dxa" w:w="674"/>
          </w:tcPr>
          <w:p>
            <w:pPr>
              <w:spacing w:line="240" w:lineRule="auto" w:after="0"/>
            </w:pPr>
            <w:r/>
            <w:r>
              <w:rPr>
                <w:sz w:val="20"/>
              </w:rPr>
              <w:t>0.773</w:t>
            </w:r>
          </w:p>
        </w:tc>
        <w:tc>
          <w:tcPr>
            <w:tcW w:type="dxa" w:w="809"/>
          </w:tcPr>
          <w:p>
            <w:pPr>
              <w:spacing w:line="240" w:lineRule="auto" w:after="0"/>
            </w:pPr>
            <w:r/>
            <w:r>
              <w:rPr>
                <w:sz w:val="20"/>
              </w:rPr>
              <w:t>+0.017</w:t>
            </w:r>
          </w:p>
        </w:tc>
        <w:tc>
          <w:tcPr>
            <w:tcW w:type="dxa" w:w="1821"/>
          </w:tcPr>
          <w:p>
            <w:pPr>
              <w:spacing w:line="240" w:lineRule="auto" w:after="0"/>
            </w:pPr>
            <w:r/>
            <w:r>
              <w:rPr>
                <w:sz w:val="20"/>
              </w:rPr>
              <w:t>[-0.034, +0.068]</w:t>
            </w:r>
          </w:p>
        </w:tc>
        <w:tc>
          <w:tcPr>
            <w:tcW w:type="dxa" w:w="674"/>
          </w:tcPr>
          <w:p>
            <w:pPr>
              <w:spacing w:line="240" w:lineRule="auto" w:after="0"/>
            </w:pPr>
            <w:r/>
            <w:r>
              <w:rPr>
                <w:sz w:val="20"/>
              </w:rPr>
              <w:t>1.000</w:t>
            </w:r>
          </w:p>
        </w:tc>
      </w:tr>
      <w:tr>
        <w:tc>
          <w:tcPr>
            <w:tcW w:type="dxa" w:w="3034"/>
          </w:tcPr>
          <w:p>
            <w:pPr>
              <w:spacing w:line="240" w:lineRule="auto" w:after="0"/>
            </w:pPr>
            <w:r/>
            <w:r>
              <w:rPr>
                <w:sz w:val="20"/>
              </w:rPr>
              <w:t>Background-activity filter</w:t>
            </w:r>
          </w:p>
        </w:tc>
        <w:tc>
          <w:tcPr>
            <w:tcW w:type="dxa" w:w="809"/>
          </w:tcPr>
          <w:p>
            <w:pPr>
              <w:spacing w:line="240" w:lineRule="auto" w:after="0"/>
            </w:pPr>
            <w:r/>
            <w:r>
              <w:rPr>
                <w:sz w:val="20"/>
              </w:rPr>
              <w:t>tuning</w:t>
            </w:r>
          </w:p>
        </w:tc>
        <w:tc>
          <w:tcPr>
            <w:tcW w:type="dxa" w:w="1416"/>
          </w:tcPr>
          <w:p>
            <w:pPr>
              <w:spacing w:line="240" w:lineRule="auto" w:after="0"/>
            </w:pPr>
            <w:r/>
            <w:r>
              <w:rPr>
                <w:sz w:val="20"/>
              </w:rPr>
              <w:t>0.693 ± 0.121</w:t>
            </w:r>
          </w:p>
        </w:tc>
        <w:tc>
          <w:tcPr>
            <w:tcW w:type="dxa" w:w="809"/>
          </w:tcPr>
          <w:p>
            <w:pPr>
              <w:spacing w:line="240" w:lineRule="auto" w:after="0"/>
            </w:pPr>
            <w:r/>
            <w:r>
              <w:rPr>
                <w:sz w:val="20"/>
              </w:rPr>
              <w:t>0.696</w:t>
            </w:r>
          </w:p>
        </w:tc>
        <w:tc>
          <w:tcPr>
            <w:tcW w:type="dxa" w:w="674"/>
          </w:tcPr>
          <w:p>
            <w:pPr>
              <w:spacing w:line="240" w:lineRule="auto" w:after="0"/>
            </w:pPr>
            <w:r/>
            <w:r>
              <w:rPr>
                <w:sz w:val="20"/>
              </w:rPr>
              <w:t>0.102</w:t>
            </w:r>
          </w:p>
        </w:tc>
        <w:tc>
          <w:tcPr>
            <w:tcW w:type="dxa" w:w="674"/>
          </w:tcPr>
          <w:p>
            <w:pPr>
              <w:spacing w:line="240" w:lineRule="auto" w:after="0"/>
            </w:pPr>
            <w:r/>
            <w:r>
              <w:rPr>
                <w:sz w:val="20"/>
              </w:rPr>
              <w:t>0.798</w:t>
            </w:r>
          </w:p>
        </w:tc>
        <w:tc>
          <w:tcPr>
            <w:tcW w:type="dxa" w:w="674"/>
          </w:tcPr>
          <w:p>
            <w:pPr>
              <w:spacing w:line="240" w:lineRule="auto" w:after="0"/>
            </w:pPr>
            <w:r/>
            <w:r>
              <w:rPr>
                <w:sz w:val="20"/>
              </w:rPr>
              <w:t>0.588</w:t>
            </w:r>
          </w:p>
        </w:tc>
        <w:tc>
          <w:tcPr>
            <w:tcW w:type="dxa" w:w="809"/>
          </w:tcPr>
          <w:p>
            <w:pPr>
              <w:spacing w:line="240" w:lineRule="auto" w:after="0"/>
            </w:pPr>
            <w:r/>
            <w:r>
              <w:rPr>
                <w:sz w:val="20"/>
              </w:rPr>
              <w:t>+0.060</w:t>
            </w:r>
          </w:p>
        </w:tc>
        <w:tc>
          <w:tcPr>
            <w:tcW w:type="dxa" w:w="1821"/>
          </w:tcPr>
          <w:p>
            <w:pPr>
              <w:spacing w:line="240" w:lineRule="auto" w:after="0"/>
            </w:pPr>
            <w:r/>
            <w:r>
              <w:rPr>
                <w:sz w:val="20"/>
              </w:rPr>
              <w:t>[+0.032, +0.086]</w:t>
            </w:r>
          </w:p>
        </w:tc>
        <w:tc>
          <w:tcPr>
            <w:tcW w:type="dxa" w:w="674"/>
          </w:tcPr>
          <w:p>
            <w:pPr>
              <w:spacing w:line="240" w:lineRule="auto" w:after="0"/>
            </w:pPr>
            <w:r/>
            <w:r>
              <w:rPr>
                <w:sz w:val="20"/>
              </w:rPr>
              <w:t>&lt;0.001</w:t>
            </w:r>
          </w:p>
        </w:tc>
      </w:tr>
      <w:tr>
        <w:tc>
          <w:tcPr>
            <w:tcW w:type="dxa" w:w="3034"/>
          </w:tcPr>
          <w:p>
            <w:pPr>
              <w:spacing w:line="240" w:lineRule="auto" w:after="0"/>
            </w:pPr>
            <w:r/>
            <w:r>
              <w:rPr>
                <w:sz w:val="20"/>
              </w:rPr>
              <w:t>Double-window filter</w:t>
            </w:r>
          </w:p>
        </w:tc>
        <w:tc>
          <w:tcPr>
            <w:tcW w:type="dxa" w:w="809"/>
          </w:tcPr>
          <w:p>
            <w:pPr>
              <w:spacing w:line="240" w:lineRule="auto" w:after="0"/>
            </w:pPr>
            <w:r/>
            <w:r>
              <w:rPr>
                <w:sz w:val="20"/>
              </w:rPr>
              <w:t>tuning</w:t>
            </w:r>
          </w:p>
        </w:tc>
        <w:tc>
          <w:tcPr>
            <w:tcW w:type="dxa" w:w="1416"/>
          </w:tcPr>
          <w:p>
            <w:pPr>
              <w:spacing w:line="240" w:lineRule="auto" w:after="0"/>
            </w:pPr>
            <w:r/>
            <w:r>
              <w:rPr>
                <w:sz w:val="20"/>
              </w:rPr>
              <w:t>0.758 ± 0.162</w:t>
            </w:r>
          </w:p>
        </w:tc>
        <w:tc>
          <w:tcPr>
            <w:tcW w:type="dxa" w:w="809"/>
          </w:tcPr>
          <w:p>
            <w:pPr>
              <w:spacing w:line="240" w:lineRule="auto" w:after="0"/>
            </w:pPr>
            <w:r/>
            <w:r>
              <w:rPr>
                <w:sz w:val="20"/>
              </w:rPr>
              <w:t>0.667</w:t>
            </w:r>
          </w:p>
        </w:tc>
        <w:tc>
          <w:tcPr>
            <w:tcW w:type="dxa" w:w="674"/>
          </w:tcPr>
          <w:p>
            <w:pPr>
              <w:spacing w:line="240" w:lineRule="auto" w:after="0"/>
            </w:pPr>
            <w:r/>
            <w:r>
              <w:rPr>
                <w:sz w:val="20"/>
              </w:rPr>
              <w:t>0.080</w:t>
            </w:r>
          </w:p>
        </w:tc>
        <w:tc>
          <w:tcPr>
            <w:tcW w:type="dxa" w:w="674"/>
          </w:tcPr>
          <w:p>
            <w:pPr>
              <w:spacing w:line="240" w:lineRule="auto" w:after="0"/>
            </w:pPr>
            <w:r/>
            <w:r>
              <w:rPr>
                <w:sz w:val="20"/>
              </w:rPr>
              <w:t>0.686</w:t>
            </w:r>
          </w:p>
        </w:tc>
        <w:tc>
          <w:tcPr>
            <w:tcW w:type="dxa" w:w="674"/>
          </w:tcPr>
          <w:p>
            <w:pPr>
              <w:spacing w:line="240" w:lineRule="auto" w:after="0"/>
            </w:pPr>
            <w:r/>
            <w:r>
              <w:rPr>
                <w:sz w:val="20"/>
              </w:rPr>
              <w:t>0.716</w:t>
            </w:r>
          </w:p>
        </w:tc>
        <w:tc>
          <w:tcPr>
            <w:tcW w:type="dxa" w:w="809"/>
          </w:tcPr>
          <w:p>
            <w:pPr>
              <w:spacing w:line="240" w:lineRule="auto" w:after="0"/>
            </w:pPr>
            <w:r/>
            <w:r>
              <w:rPr>
                <w:sz w:val="20"/>
              </w:rPr>
              <w:t>-0.006</w:t>
            </w:r>
          </w:p>
        </w:tc>
        <w:tc>
          <w:tcPr>
            <w:tcW w:type="dxa" w:w="1821"/>
          </w:tcPr>
          <w:p>
            <w:pPr>
              <w:spacing w:line="240" w:lineRule="auto" w:after="0"/>
            </w:pPr>
            <w:r/>
            <w:r>
              <w:rPr>
                <w:sz w:val="20"/>
              </w:rPr>
              <w:t>[-0.049, +0.034]</w:t>
            </w:r>
          </w:p>
        </w:tc>
        <w:tc>
          <w:tcPr>
            <w:tcW w:type="dxa" w:w="674"/>
          </w:tcPr>
          <w:p>
            <w:pPr>
              <w:spacing w:line="240" w:lineRule="auto" w:after="0"/>
            </w:pPr>
            <w:r/>
            <w:r>
              <w:rPr>
                <w:sz w:val="20"/>
              </w:rPr>
              <w:t>1.000</w:t>
            </w:r>
          </w:p>
        </w:tc>
      </w:tr>
      <w:tr>
        <w:tc>
          <w:tcPr>
            <w:tcW w:type="dxa" w:w="3034"/>
          </w:tcPr>
          <w:p>
            <w:pPr>
              <w:spacing w:line="240" w:lineRule="auto" w:after="0"/>
            </w:pPr>
            <w:r/>
            <w:r>
              <w:rPr>
                <w:sz w:val="20"/>
              </w:rPr>
              <w:t>Nearest-neighbour filter</w:t>
            </w:r>
          </w:p>
        </w:tc>
        <w:tc>
          <w:tcPr>
            <w:tcW w:type="dxa" w:w="809"/>
          </w:tcPr>
          <w:p>
            <w:pPr>
              <w:spacing w:line="240" w:lineRule="auto" w:after="0"/>
            </w:pPr>
            <w:r/>
            <w:r>
              <w:rPr>
                <w:sz w:val="20"/>
              </w:rPr>
              <w:t>tuning</w:t>
            </w:r>
          </w:p>
        </w:tc>
        <w:tc>
          <w:tcPr>
            <w:tcW w:type="dxa" w:w="1416"/>
          </w:tcPr>
          <w:p>
            <w:pPr>
              <w:spacing w:line="240" w:lineRule="auto" w:after="0"/>
            </w:pPr>
            <w:r/>
            <w:r>
              <w:rPr>
                <w:sz w:val="20"/>
              </w:rPr>
              <w:t>0.655 ± 0.169</w:t>
            </w:r>
          </w:p>
        </w:tc>
        <w:tc>
          <w:tcPr>
            <w:tcW w:type="dxa" w:w="809"/>
          </w:tcPr>
          <w:p>
            <w:pPr>
              <w:spacing w:line="240" w:lineRule="auto" w:after="0"/>
            </w:pPr>
            <w:r/>
            <w:r>
              <w:rPr>
                <w:sz w:val="20"/>
              </w:rPr>
              <w:t>0.631</w:t>
            </w:r>
          </w:p>
        </w:tc>
        <w:tc>
          <w:tcPr>
            <w:tcW w:type="dxa" w:w="674"/>
          </w:tcPr>
          <w:p>
            <w:pPr>
              <w:spacing w:line="240" w:lineRule="auto" w:after="0"/>
            </w:pPr>
            <w:r/>
            <w:r>
              <w:rPr>
                <w:sz w:val="20"/>
              </w:rPr>
              <w:t>0.088</w:t>
            </w:r>
          </w:p>
        </w:tc>
        <w:tc>
          <w:tcPr>
            <w:tcW w:type="dxa" w:w="674"/>
          </w:tcPr>
          <w:p>
            <w:pPr>
              <w:spacing w:line="240" w:lineRule="auto" w:after="0"/>
            </w:pPr>
            <w:r/>
            <w:r>
              <w:rPr>
                <w:sz w:val="20"/>
              </w:rPr>
              <w:t>0.735</w:t>
            </w:r>
          </w:p>
        </w:tc>
        <w:tc>
          <w:tcPr>
            <w:tcW w:type="dxa" w:w="674"/>
          </w:tcPr>
          <w:p>
            <w:pPr>
              <w:spacing w:line="240" w:lineRule="auto" w:after="0"/>
            </w:pPr>
            <w:r/>
            <w:r>
              <w:rPr>
                <w:sz w:val="20"/>
              </w:rPr>
              <w:t>0.476</w:t>
            </w:r>
          </w:p>
        </w:tc>
        <w:tc>
          <w:tcPr>
            <w:tcW w:type="dxa" w:w="809"/>
          </w:tcPr>
          <w:p>
            <w:pPr>
              <w:spacing w:line="240" w:lineRule="auto" w:after="0"/>
            </w:pPr>
            <w:r/>
            <w:r>
              <w:rPr>
                <w:sz w:val="20"/>
              </w:rPr>
              <w:t>+0.098</w:t>
            </w:r>
          </w:p>
        </w:tc>
        <w:tc>
          <w:tcPr>
            <w:tcW w:type="dxa" w:w="1821"/>
          </w:tcPr>
          <w:p>
            <w:pPr>
              <w:spacing w:line="240" w:lineRule="auto" w:after="0"/>
            </w:pPr>
            <w:r/>
            <w:r>
              <w:rPr>
                <w:sz w:val="20"/>
              </w:rPr>
              <w:t>[+0.049, +0.147]</w:t>
            </w:r>
          </w:p>
        </w:tc>
        <w:tc>
          <w:tcPr>
            <w:tcW w:type="dxa" w:w="674"/>
          </w:tcPr>
          <w:p>
            <w:pPr>
              <w:spacing w:line="240" w:lineRule="auto" w:after="0"/>
            </w:pPr>
            <w:r/>
            <w:r>
              <w:rPr>
                <w:sz w:val="20"/>
              </w:rPr>
              <w:t>0.003</w:t>
            </w:r>
          </w:p>
        </w:tc>
      </w:tr>
      <w:tr>
        <w:tc>
          <w:tcPr>
            <w:tcW w:type="dxa" w:w="3034"/>
          </w:tcPr>
          <w:p>
            <w:pPr>
              <w:spacing w:line="240" w:lineRule="auto" w:after="0"/>
            </w:pPr>
            <w:r/>
            <w:r>
              <w:rPr>
                <w:sz w:val="20"/>
              </w:rPr>
              <w:t>kNoise</w:t>
            </w:r>
          </w:p>
        </w:tc>
        <w:tc>
          <w:tcPr>
            <w:tcW w:type="dxa" w:w="809"/>
          </w:tcPr>
          <w:p>
            <w:pPr>
              <w:spacing w:line="240" w:lineRule="auto" w:after="0"/>
            </w:pPr>
            <w:r/>
            <w:r>
              <w:rPr>
                <w:sz w:val="20"/>
              </w:rPr>
              <w:t>tuning</w:t>
            </w:r>
          </w:p>
        </w:tc>
        <w:tc>
          <w:tcPr>
            <w:tcW w:type="dxa" w:w="1416"/>
          </w:tcPr>
          <w:p>
            <w:pPr>
              <w:spacing w:line="240" w:lineRule="auto" w:after="0"/>
            </w:pPr>
            <w:r/>
            <w:r>
              <w:rPr>
                <w:sz w:val="20"/>
              </w:rPr>
              <w:t>0.623 ± 0.120</w:t>
            </w:r>
          </w:p>
        </w:tc>
        <w:tc>
          <w:tcPr>
            <w:tcW w:type="dxa" w:w="809"/>
          </w:tcPr>
          <w:p>
            <w:pPr>
              <w:spacing w:line="240" w:lineRule="auto" w:after="0"/>
            </w:pPr>
            <w:r/>
            <w:r>
              <w:rPr>
                <w:sz w:val="20"/>
              </w:rPr>
              <w:t>0.619</w:t>
            </w:r>
          </w:p>
        </w:tc>
        <w:tc>
          <w:tcPr>
            <w:tcW w:type="dxa" w:w="674"/>
          </w:tcPr>
          <w:p>
            <w:pPr>
              <w:spacing w:line="240" w:lineRule="auto" w:after="0"/>
            </w:pPr>
            <w:r/>
            <w:r>
              <w:rPr>
                <w:sz w:val="20"/>
              </w:rPr>
              <w:t>0.092</w:t>
            </w:r>
          </w:p>
        </w:tc>
        <w:tc>
          <w:tcPr>
            <w:tcW w:type="dxa" w:w="674"/>
          </w:tcPr>
          <w:p>
            <w:pPr>
              <w:spacing w:line="240" w:lineRule="auto" w:after="0"/>
            </w:pPr>
            <w:r/>
            <w:r>
              <w:rPr>
                <w:sz w:val="20"/>
              </w:rPr>
              <w:t>0.880</w:t>
            </w:r>
          </w:p>
        </w:tc>
        <w:tc>
          <w:tcPr>
            <w:tcW w:type="dxa" w:w="674"/>
          </w:tcPr>
          <w:p>
            <w:pPr>
              <w:spacing w:line="240" w:lineRule="auto" w:after="0"/>
            </w:pPr>
            <w:r/>
            <w:r>
              <w:rPr>
                <w:sz w:val="20"/>
              </w:rPr>
              <w:t>0.287</w:t>
            </w:r>
          </w:p>
        </w:tc>
        <w:tc>
          <w:tcPr>
            <w:tcW w:type="dxa" w:w="809"/>
          </w:tcPr>
          <w:p>
            <w:pPr>
              <w:spacing w:line="240" w:lineRule="auto" w:after="0"/>
            </w:pPr>
            <w:r/>
            <w:r>
              <w:rPr>
                <w:sz w:val="20"/>
              </w:rPr>
              <w:t>+0.130</w:t>
            </w:r>
          </w:p>
        </w:tc>
        <w:tc>
          <w:tcPr>
            <w:tcW w:type="dxa" w:w="1821"/>
          </w:tcPr>
          <w:p>
            <w:pPr>
              <w:spacing w:line="240" w:lineRule="auto" w:after="0"/>
            </w:pPr>
            <w:r/>
            <w:r>
              <w:rPr>
                <w:sz w:val="20"/>
              </w:rPr>
              <w:t>[+0.091, +0.165]</w:t>
            </w:r>
          </w:p>
        </w:tc>
        <w:tc>
          <w:tcPr>
            <w:tcW w:type="dxa" w:w="674"/>
          </w:tcPr>
          <w:p>
            <w:pPr>
              <w:spacing w:line="240" w:lineRule="auto" w:after="0"/>
            </w:pPr>
            <w:r/>
            <w:r>
              <w:rPr>
                <w:sz w:val="20"/>
              </w:rPr>
              <w:t>&lt;0.001</w:t>
            </w:r>
          </w:p>
        </w:tc>
      </w:tr>
      <w:tr>
        <w:tc>
          <w:tcPr>
            <w:tcW w:type="dxa" w:w="3034"/>
          </w:tcPr>
          <w:p>
            <w:pPr>
              <w:spacing w:line="240" w:lineRule="auto" w:after="0"/>
            </w:pPr>
            <w:r/>
            <w:r>
              <w:rPr>
                <w:sz w:val="20"/>
              </w:rPr>
              <w:t>Event bilateral filter (event-driven form)</w:t>
            </w:r>
          </w:p>
        </w:tc>
        <w:tc>
          <w:tcPr>
            <w:tcW w:type="dxa" w:w="809"/>
          </w:tcPr>
          <w:p>
            <w:pPr>
              <w:spacing w:line="240" w:lineRule="auto" w:after="0"/>
            </w:pPr>
            <w:r/>
            <w:r>
              <w:rPr>
                <w:sz w:val="20"/>
              </w:rPr>
              <w:t>tuning</w:t>
            </w:r>
          </w:p>
        </w:tc>
        <w:tc>
          <w:tcPr>
            <w:tcW w:type="dxa" w:w="1416"/>
          </w:tcPr>
          <w:p>
            <w:pPr>
              <w:spacing w:line="240" w:lineRule="auto" w:after="0"/>
            </w:pPr>
            <w:r/>
            <w:r>
              <w:rPr>
                <w:sz w:val="20"/>
              </w:rPr>
              <w:t>0.774 ± 0.184</w:t>
            </w:r>
          </w:p>
        </w:tc>
        <w:tc>
          <w:tcPr>
            <w:tcW w:type="dxa" w:w="809"/>
          </w:tcPr>
          <w:p>
            <w:pPr>
              <w:spacing w:line="240" w:lineRule="auto" w:after="0"/>
            </w:pPr>
            <w:r/>
            <w:r>
              <w:rPr>
                <w:sz w:val="20"/>
              </w:rPr>
              <w:t>0.728</w:t>
            </w:r>
          </w:p>
        </w:tc>
        <w:tc>
          <w:tcPr>
            <w:tcW w:type="dxa" w:w="674"/>
          </w:tcPr>
          <w:p>
            <w:pPr>
              <w:spacing w:line="240" w:lineRule="auto" w:after="0"/>
            </w:pPr>
            <w:r/>
            <w:r>
              <w:rPr>
                <w:sz w:val="20"/>
              </w:rPr>
              <w:t>0.060</w:t>
            </w:r>
          </w:p>
        </w:tc>
        <w:tc>
          <w:tcPr>
            <w:tcW w:type="dxa" w:w="674"/>
          </w:tcPr>
          <w:p>
            <w:pPr>
              <w:spacing w:line="240" w:lineRule="auto" w:after="0"/>
            </w:pPr>
            <w:r/>
            <w:r>
              <w:rPr>
                <w:sz w:val="20"/>
              </w:rPr>
              <w:t>0.513</w:t>
            </w:r>
          </w:p>
        </w:tc>
        <w:tc>
          <w:tcPr>
            <w:tcW w:type="dxa" w:w="674"/>
          </w:tcPr>
          <w:p>
            <w:pPr>
              <w:spacing w:line="240" w:lineRule="auto" w:after="0"/>
            </w:pPr>
            <w:r/>
            <w:r>
              <w:rPr>
                <w:sz w:val="20"/>
              </w:rPr>
              <w:t>0.816</w:t>
            </w:r>
          </w:p>
        </w:tc>
        <w:tc>
          <w:tcPr>
            <w:tcW w:type="dxa" w:w="809"/>
          </w:tcPr>
          <w:p>
            <w:pPr>
              <w:spacing w:line="240" w:lineRule="auto" w:after="0"/>
            </w:pPr>
            <w:r/>
            <w:r>
              <w:rPr>
                <w:sz w:val="20"/>
              </w:rPr>
              <w:t>-0.021</w:t>
            </w:r>
          </w:p>
        </w:tc>
        <w:tc>
          <w:tcPr>
            <w:tcW w:type="dxa" w:w="1821"/>
          </w:tcPr>
          <w:p>
            <w:pPr>
              <w:spacing w:line="240" w:lineRule="auto" w:after="0"/>
            </w:pPr>
            <w:r/>
            <w:r>
              <w:rPr>
                <w:sz w:val="20"/>
              </w:rPr>
              <w:t>[-0.071, +0.028]</w:t>
            </w:r>
          </w:p>
        </w:tc>
        <w:tc>
          <w:tcPr>
            <w:tcW w:type="dxa" w:w="674"/>
          </w:tcPr>
          <w:p>
            <w:pPr>
              <w:spacing w:line="240" w:lineRule="auto" w:after="0"/>
            </w:pPr>
            <w:r/>
            <w:r>
              <w:rPr>
                <w:sz w:val="20"/>
              </w:rPr>
              <w:t>1.000</w:t>
            </w:r>
          </w:p>
        </w:tc>
      </w:tr>
      <w:tr>
        <w:tc>
          <w:tcPr>
            <w:tcW w:type="dxa" w:w="3034"/>
          </w:tcPr>
          <w:p>
            <w:pPr>
              <w:spacing w:line="240" w:lineRule="auto" w:after="0"/>
            </w:pPr>
            <w:r/>
            <w:r>
              <w:rPr>
                <w:sz w:val="20"/>
              </w:rPr>
              <w:t>kNN point-process test (event-driven)</w:t>
            </w:r>
          </w:p>
        </w:tc>
        <w:tc>
          <w:tcPr>
            <w:tcW w:type="dxa" w:w="809"/>
          </w:tcPr>
          <w:p>
            <w:pPr>
              <w:spacing w:line="240" w:lineRule="auto" w:after="0"/>
            </w:pPr>
            <w:r/>
            <w:r>
              <w:rPr>
                <w:sz w:val="20"/>
              </w:rPr>
              <w:t>tuning</w:t>
            </w:r>
          </w:p>
        </w:tc>
        <w:tc>
          <w:tcPr>
            <w:tcW w:type="dxa" w:w="1416"/>
          </w:tcPr>
          <w:p>
            <w:pPr>
              <w:spacing w:line="240" w:lineRule="auto" w:after="0"/>
            </w:pPr>
            <w:r/>
            <w:r>
              <w:rPr>
                <w:sz w:val="20"/>
              </w:rPr>
              <w:t>0.694 ± 0.137</w:t>
            </w:r>
          </w:p>
        </w:tc>
        <w:tc>
          <w:tcPr>
            <w:tcW w:type="dxa" w:w="809"/>
          </w:tcPr>
          <w:p>
            <w:pPr>
              <w:spacing w:line="240" w:lineRule="auto" w:after="0"/>
            </w:pPr>
            <w:r/>
            <w:r>
              <w:rPr>
                <w:sz w:val="20"/>
              </w:rPr>
              <w:t>-</w:t>
            </w:r>
          </w:p>
        </w:tc>
        <w:tc>
          <w:tcPr>
            <w:tcW w:type="dxa" w:w="674"/>
          </w:tcPr>
          <w:p>
            <w:pPr>
              <w:spacing w:line="240" w:lineRule="auto" w:after="0"/>
            </w:pPr>
            <w:r/>
            <w:r>
              <w:rPr>
                <w:sz w:val="20"/>
              </w:rPr>
              <w:t>0.104</w:t>
            </w:r>
          </w:p>
        </w:tc>
        <w:tc>
          <w:tcPr>
            <w:tcW w:type="dxa" w:w="674"/>
          </w:tcPr>
          <w:p>
            <w:pPr>
              <w:spacing w:line="240" w:lineRule="auto" w:after="0"/>
            </w:pPr>
            <w:r/>
            <w:r>
              <w:rPr>
                <w:sz w:val="20"/>
              </w:rPr>
              <w:t>0.817</w:t>
            </w:r>
          </w:p>
        </w:tc>
        <w:tc>
          <w:tcPr>
            <w:tcW w:type="dxa" w:w="674"/>
          </w:tcPr>
          <w:p>
            <w:pPr>
              <w:spacing w:line="240" w:lineRule="auto" w:after="0"/>
            </w:pPr>
            <w:r/>
            <w:r>
              <w:rPr>
                <w:sz w:val="20"/>
              </w:rPr>
              <w:t>0.373</w:t>
            </w:r>
          </w:p>
        </w:tc>
        <w:tc>
          <w:tcPr>
            <w:tcW w:type="dxa" w:w="809"/>
          </w:tcPr>
          <w:p>
            <w:pPr>
              <w:spacing w:line="240" w:lineRule="auto" w:after="0"/>
            </w:pPr>
            <w:r/>
            <w:r>
              <w:rPr>
                <w:sz w:val="20"/>
              </w:rPr>
              <w:t>+0.059</w:t>
            </w:r>
          </w:p>
        </w:tc>
        <w:tc>
          <w:tcPr>
            <w:tcW w:type="dxa" w:w="1821"/>
          </w:tcPr>
          <w:p>
            <w:pPr>
              <w:spacing w:line="240" w:lineRule="auto" w:after="0"/>
            </w:pPr>
            <w:r/>
            <w:r>
              <w:rPr>
                <w:sz w:val="20"/>
              </w:rPr>
              <w:t>[+0.010, +0.103]</w:t>
            </w:r>
          </w:p>
        </w:tc>
        <w:tc>
          <w:tcPr>
            <w:tcW w:type="dxa" w:w="674"/>
          </w:tcPr>
          <w:p>
            <w:pPr>
              <w:spacing w:line="240" w:lineRule="auto" w:after="0"/>
            </w:pPr>
            <w:r/>
            <w:r>
              <w:rPr>
                <w:sz w:val="20"/>
              </w:rPr>
              <w:t>0.006</w:t>
            </w:r>
          </w:p>
        </w:tc>
      </w:tr>
      <w:tr>
        <w:tc>
          <w:tcPr>
            <w:tcW w:type="dxa" w:w="3034"/>
          </w:tcPr>
          <w:p>
            <w:pPr>
              <w:spacing w:line="240" w:lineRule="auto" w:after="0"/>
            </w:pPr>
            <w:r/>
            <w:r>
              <w:rPr>
                <w:sz w:val="20"/>
              </w:rPr>
              <w:t>Gamma waiting-time test (event-driven)</w:t>
            </w:r>
          </w:p>
        </w:tc>
        <w:tc>
          <w:tcPr>
            <w:tcW w:type="dxa" w:w="809"/>
          </w:tcPr>
          <w:p>
            <w:pPr>
              <w:spacing w:line="240" w:lineRule="auto" w:after="0"/>
            </w:pPr>
            <w:r/>
            <w:r>
              <w:rPr>
                <w:sz w:val="20"/>
              </w:rPr>
              <w:t>tuning</w:t>
            </w:r>
          </w:p>
        </w:tc>
        <w:tc>
          <w:tcPr>
            <w:tcW w:type="dxa" w:w="1416"/>
          </w:tcPr>
          <w:p>
            <w:pPr>
              <w:spacing w:line="240" w:lineRule="auto" w:after="0"/>
            </w:pPr>
            <w:r/>
            <w:r>
              <w:rPr>
                <w:sz w:val="20"/>
              </w:rPr>
              <w:t>0.685 ± 0.147</w:t>
            </w:r>
          </w:p>
        </w:tc>
        <w:tc>
          <w:tcPr>
            <w:tcW w:type="dxa" w:w="809"/>
          </w:tcPr>
          <w:p>
            <w:pPr>
              <w:spacing w:line="240" w:lineRule="auto" w:after="0"/>
            </w:pPr>
            <w:r/>
            <w:r>
              <w:rPr>
                <w:sz w:val="20"/>
              </w:rPr>
              <w:t>-</w:t>
            </w:r>
          </w:p>
        </w:tc>
        <w:tc>
          <w:tcPr>
            <w:tcW w:type="dxa" w:w="674"/>
          </w:tcPr>
          <w:p>
            <w:pPr>
              <w:spacing w:line="240" w:lineRule="auto" w:after="0"/>
            </w:pPr>
            <w:r/>
            <w:r>
              <w:rPr>
                <w:sz w:val="20"/>
              </w:rPr>
              <w:t>0.103</w:t>
            </w:r>
          </w:p>
        </w:tc>
        <w:tc>
          <w:tcPr>
            <w:tcW w:type="dxa" w:w="674"/>
          </w:tcPr>
          <w:p>
            <w:pPr>
              <w:spacing w:line="240" w:lineRule="auto" w:after="0"/>
            </w:pPr>
            <w:r/>
            <w:r>
              <w:rPr>
                <w:sz w:val="20"/>
              </w:rPr>
              <w:t>0.837</w:t>
            </w:r>
          </w:p>
        </w:tc>
        <w:tc>
          <w:tcPr>
            <w:tcW w:type="dxa" w:w="674"/>
          </w:tcPr>
          <w:p>
            <w:pPr>
              <w:spacing w:line="240" w:lineRule="auto" w:after="0"/>
            </w:pPr>
            <w:r/>
            <w:r>
              <w:rPr>
                <w:sz w:val="20"/>
              </w:rPr>
              <w:t>0.365</w:t>
            </w:r>
          </w:p>
        </w:tc>
        <w:tc>
          <w:tcPr>
            <w:tcW w:type="dxa" w:w="809"/>
          </w:tcPr>
          <w:p>
            <w:pPr>
              <w:spacing w:line="240" w:lineRule="auto" w:after="0"/>
            </w:pPr>
            <w:r/>
            <w:r>
              <w:rPr>
                <w:sz w:val="20"/>
              </w:rPr>
              <w:t>+0.068</w:t>
            </w:r>
          </w:p>
        </w:tc>
        <w:tc>
          <w:tcPr>
            <w:tcW w:type="dxa" w:w="1821"/>
          </w:tcPr>
          <w:p>
            <w:pPr>
              <w:spacing w:line="240" w:lineRule="auto" w:after="0"/>
            </w:pPr>
            <w:r/>
            <w:r>
              <w:rPr>
                <w:sz w:val="20"/>
              </w:rPr>
              <w:t>[+0.017, +0.113]</w:t>
            </w:r>
          </w:p>
        </w:tc>
        <w:tc>
          <w:tcPr>
            <w:tcW w:type="dxa" w:w="674"/>
          </w:tcPr>
          <w:p>
            <w:pPr>
              <w:spacing w:line="240" w:lineRule="auto" w:after="0"/>
            </w:pPr>
            <w:r/>
            <w:r>
              <w:rPr>
                <w:sz w:val="20"/>
              </w:rPr>
              <w:t>0.003</w:t>
            </w:r>
          </w:p>
        </w:tc>
      </w:tr>
      <w:tr>
        <w:tc>
          <w:tcPr>
            <w:tcW w:type="dxa" w:w="3034"/>
          </w:tcPr>
          <w:p>
            <w:pPr>
              <w:spacing w:line="240" w:lineRule="auto" w:after="0"/>
            </w:pPr>
            <w:r/>
            <w:r>
              <w:rPr>
                <w:sz w:val="20"/>
              </w:rPr>
              <w:t>Velocity-adaptive matched filter (event-driven)</w:t>
            </w:r>
          </w:p>
        </w:tc>
        <w:tc>
          <w:tcPr>
            <w:tcW w:type="dxa" w:w="809"/>
          </w:tcPr>
          <w:p>
            <w:pPr>
              <w:spacing w:line="240" w:lineRule="auto" w:after="0"/>
            </w:pPr>
            <w:r/>
            <w:r>
              <w:rPr>
                <w:sz w:val="20"/>
              </w:rPr>
              <w:t>tuning</w:t>
            </w:r>
          </w:p>
        </w:tc>
        <w:tc>
          <w:tcPr>
            <w:tcW w:type="dxa" w:w="1416"/>
          </w:tcPr>
          <w:p>
            <w:pPr>
              <w:spacing w:line="240" w:lineRule="auto" w:after="0"/>
            </w:pPr>
            <w:r/>
            <w:r>
              <w:rPr>
                <w:sz w:val="20"/>
              </w:rPr>
              <w:t>0.555 ± 0.162</w:t>
            </w:r>
          </w:p>
        </w:tc>
        <w:tc>
          <w:tcPr>
            <w:tcW w:type="dxa" w:w="809"/>
          </w:tcPr>
          <w:p>
            <w:pPr>
              <w:spacing w:line="240" w:lineRule="auto" w:after="0"/>
            </w:pPr>
            <w:r/>
            <w:r>
              <w:rPr>
                <w:sz w:val="20"/>
              </w:rPr>
              <w:t>-</w:t>
            </w:r>
          </w:p>
        </w:tc>
        <w:tc>
          <w:tcPr>
            <w:tcW w:type="dxa" w:w="674"/>
          </w:tcPr>
          <w:p>
            <w:pPr>
              <w:spacing w:line="240" w:lineRule="auto" w:after="0"/>
            </w:pPr>
            <w:r/>
            <w:r>
              <w:rPr>
                <w:sz w:val="20"/>
              </w:rPr>
              <w:t>0.031</w:t>
            </w:r>
          </w:p>
        </w:tc>
        <w:tc>
          <w:tcPr>
            <w:tcW w:type="dxa" w:w="674"/>
          </w:tcPr>
          <w:p>
            <w:pPr>
              <w:spacing w:line="240" w:lineRule="auto" w:after="0"/>
            </w:pPr>
            <w:r/>
            <w:r>
              <w:rPr>
                <w:sz w:val="20"/>
              </w:rPr>
              <w:t>0.391</w:t>
            </w:r>
          </w:p>
        </w:tc>
        <w:tc>
          <w:tcPr>
            <w:tcW w:type="dxa" w:w="674"/>
          </w:tcPr>
          <w:p>
            <w:pPr>
              <w:spacing w:line="240" w:lineRule="auto" w:after="0"/>
            </w:pPr>
            <w:r/>
            <w:r>
              <w:rPr>
                <w:sz w:val="20"/>
              </w:rPr>
              <w:t>0.628</w:t>
            </w:r>
          </w:p>
        </w:tc>
        <w:tc>
          <w:tcPr>
            <w:tcW w:type="dxa" w:w="809"/>
          </w:tcPr>
          <w:p>
            <w:pPr>
              <w:spacing w:line="240" w:lineRule="auto" w:after="0"/>
            </w:pPr>
            <w:r/>
            <w:r>
              <w:rPr>
                <w:sz w:val="20"/>
              </w:rPr>
              <w:t>+0.197</w:t>
            </w:r>
          </w:p>
        </w:tc>
        <w:tc>
          <w:tcPr>
            <w:tcW w:type="dxa" w:w="1821"/>
          </w:tcPr>
          <w:p>
            <w:pPr>
              <w:spacing w:line="240" w:lineRule="auto" w:after="0"/>
            </w:pPr>
            <w:r/>
            <w:r>
              <w:rPr>
                <w:sz w:val="20"/>
              </w:rPr>
              <w:t>[+0.131, +0.267]</w:t>
            </w:r>
          </w:p>
        </w:tc>
        <w:tc>
          <w:tcPr>
            <w:tcW w:type="dxa" w:w="674"/>
          </w:tcPr>
          <w:p>
            <w:pPr>
              <w:spacing w:line="240" w:lineRule="auto" w:after="0"/>
            </w:pPr>
            <w:r/>
            <w:r>
              <w:rPr>
                <w:sz w:val="20"/>
              </w:rPr>
              <w:t>&lt;0.001</w:t>
            </w:r>
          </w:p>
        </w:tc>
      </w:tr>
      <w:tr>
        <w:tc>
          <w:tcPr>
            <w:tcW w:type="dxa" w:w="3034"/>
          </w:tcPr>
          <w:p>
            <w:pPr>
              <w:spacing w:line="240" w:lineRule="auto" w:after="0"/>
            </w:pPr>
            <w:r/>
            <w:r>
              <w:rPr>
                <w:sz w:val="20"/>
              </w:rPr>
              <w:t>Double-window filter (event-driven form)</w:t>
            </w:r>
          </w:p>
        </w:tc>
        <w:tc>
          <w:tcPr>
            <w:tcW w:type="dxa" w:w="809"/>
          </w:tcPr>
          <w:p>
            <w:pPr>
              <w:spacing w:line="240" w:lineRule="auto" w:after="0"/>
            </w:pPr>
            <w:r/>
            <w:r>
              <w:rPr>
                <w:sz w:val="20"/>
              </w:rPr>
              <w:t>tuning</w:t>
            </w:r>
          </w:p>
        </w:tc>
        <w:tc>
          <w:tcPr>
            <w:tcW w:type="dxa" w:w="1416"/>
          </w:tcPr>
          <w:p>
            <w:pPr>
              <w:spacing w:line="240" w:lineRule="auto" w:after="0"/>
            </w:pPr>
            <w:r/>
            <w:r>
              <w:rPr>
                <w:sz w:val="20"/>
              </w:rPr>
              <w:t>0.563 ± 0.099</w:t>
            </w:r>
          </w:p>
        </w:tc>
        <w:tc>
          <w:tcPr>
            <w:tcW w:type="dxa" w:w="809"/>
          </w:tcPr>
          <w:p>
            <w:pPr>
              <w:spacing w:line="240" w:lineRule="auto" w:after="0"/>
            </w:pPr>
            <w:r/>
            <w:r>
              <w:rPr>
                <w:sz w:val="20"/>
              </w:rPr>
              <w:t>0.533</w:t>
            </w:r>
          </w:p>
        </w:tc>
        <w:tc>
          <w:tcPr>
            <w:tcW w:type="dxa" w:w="674"/>
          </w:tcPr>
          <w:p>
            <w:pPr>
              <w:spacing w:line="240" w:lineRule="auto" w:after="0"/>
            </w:pPr>
            <w:r/>
            <w:r>
              <w:rPr>
                <w:sz w:val="20"/>
              </w:rPr>
              <w:t>0.044</w:t>
            </w:r>
          </w:p>
        </w:tc>
        <w:tc>
          <w:tcPr>
            <w:tcW w:type="dxa" w:w="674"/>
          </w:tcPr>
          <w:p>
            <w:pPr>
              <w:spacing w:line="240" w:lineRule="auto" w:after="0"/>
            </w:pPr>
            <w:r/>
            <w:r>
              <w:rPr>
                <w:sz w:val="20"/>
              </w:rPr>
              <w:t>0.606</w:t>
            </w:r>
          </w:p>
        </w:tc>
        <w:tc>
          <w:tcPr>
            <w:tcW w:type="dxa" w:w="674"/>
          </w:tcPr>
          <w:p>
            <w:pPr>
              <w:spacing w:line="240" w:lineRule="auto" w:after="0"/>
            </w:pPr>
            <w:r/>
            <w:r>
              <w:rPr>
                <w:sz w:val="20"/>
              </w:rPr>
              <w:t>0.531</w:t>
            </w:r>
          </w:p>
        </w:tc>
        <w:tc>
          <w:tcPr>
            <w:tcW w:type="dxa" w:w="809"/>
          </w:tcPr>
          <w:p>
            <w:pPr>
              <w:spacing w:line="240" w:lineRule="auto" w:after="0"/>
            </w:pPr>
            <w:r/>
            <w:r>
              <w:rPr>
                <w:sz w:val="20"/>
              </w:rPr>
              <w:t>+0.190</w:t>
            </w:r>
          </w:p>
        </w:tc>
        <w:tc>
          <w:tcPr>
            <w:tcW w:type="dxa" w:w="1821"/>
          </w:tcPr>
          <w:p>
            <w:pPr>
              <w:spacing w:line="240" w:lineRule="auto" w:after="0"/>
            </w:pPr>
            <w:r/>
            <w:r>
              <w:rPr>
                <w:sz w:val="20"/>
              </w:rPr>
              <w:t>[+0.135, +0.242]</w:t>
            </w:r>
          </w:p>
        </w:tc>
        <w:tc>
          <w:tcPr>
            <w:tcW w:type="dxa" w:w="674"/>
          </w:tcPr>
          <w:p>
            <w:pPr>
              <w:spacing w:line="240" w:lineRule="auto" w:after="0"/>
            </w:pPr>
            <w:r/>
            <w:r>
              <w:rPr>
                <w:sz w:val="20"/>
              </w:rPr>
              <w:t>&lt;0.001</w:t>
            </w:r>
          </w:p>
        </w:tc>
      </w:tr>
      <w:tr>
        <w:tc>
          <w:tcPr>
            <w:tcW w:type="dxa" w:w="3034"/>
          </w:tcPr>
          <w:p>
            <w:pPr>
              <w:spacing w:line="240" w:lineRule="auto" w:after="0"/>
            </w:pPr>
            <w:r/>
            <w:r>
              <w:rPr>
                <w:sz w:val="20"/>
              </w:rPr>
              <w:t>Recursive rate tracker (event-driven)</w:t>
            </w:r>
          </w:p>
        </w:tc>
        <w:tc>
          <w:tcPr>
            <w:tcW w:type="dxa" w:w="809"/>
          </w:tcPr>
          <w:p>
            <w:pPr>
              <w:spacing w:line="240" w:lineRule="auto" w:after="0"/>
            </w:pPr>
            <w:r/>
            <w:r>
              <w:rPr>
                <w:sz w:val="20"/>
              </w:rPr>
              <w:t>tuning</w:t>
            </w:r>
          </w:p>
        </w:tc>
        <w:tc>
          <w:tcPr>
            <w:tcW w:type="dxa" w:w="1416"/>
          </w:tcPr>
          <w:p>
            <w:pPr>
              <w:spacing w:line="240" w:lineRule="auto" w:after="0"/>
            </w:pPr>
            <w:r/>
            <w:r>
              <w:rPr>
                <w:sz w:val="20"/>
              </w:rPr>
              <w:t>0.523 ± 0.157</w:t>
            </w:r>
          </w:p>
        </w:tc>
        <w:tc>
          <w:tcPr>
            <w:tcW w:type="dxa" w:w="809"/>
          </w:tcPr>
          <w:p>
            <w:pPr>
              <w:spacing w:line="240" w:lineRule="auto" w:after="0"/>
            </w:pPr>
            <w:r/>
            <w:r>
              <w:rPr>
                <w:sz w:val="20"/>
              </w:rPr>
              <w:t>-</w:t>
            </w:r>
          </w:p>
        </w:tc>
        <w:tc>
          <w:tcPr>
            <w:tcW w:type="dxa" w:w="674"/>
          </w:tcPr>
          <w:p>
            <w:pPr>
              <w:spacing w:line="240" w:lineRule="auto" w:after="0"/>
            </w:pPr>
            <w:r/>
            <w:r>
              <w:rPr>
                <w:sz w:val="20"/>
              </w:rPr>
              <w:t>0.094</w:t>
            </w:r>
          </w:p>
        </w:tc>
        <w:tc>
          <w:tcPr>
            <w:tcW w:type="dxa" w:w="674"/>
          </w:tcPr>
          <w:p>
            <w:pPr>
              <w:spacing w:line="240" w:lineRule="auto" w:after="0"/>
            </w:pPr>
            <w:r/>
            <w:r>
              <w:rPr>
                <w:sz w:val="20"/>
              </w:rPr>
              <w:t>0.845</w:t>
            </w:r>
          </w:p>
        </w:tc>
        <w:tc>
          <w:tcPr>
            <w:tcW w:type="dxa" w:w="674"/>
          </w:tcPr>
          <w:p>
            <w:pPr>
              <w:spacing w:line="240" w:lineRule="auto" w:after="0"/>
            </w:pPr>
            <w:r/>
            <w:r>
              <w:rPr>
                <w:sz w:val="20"/>
              </w:rPr>
              <w:t>0.328</w:t>
            </w:r>
          </w:p>
        </w:tc>
        <w:tc>
          <w:tcPr>
            <w:tcW w:type="dxa" w:w="809"/>
          </w:tcPr>
          <w:p>
            <w:pPr>
              <w:spacing w:line="240" w:lineRule="auto" w:after="0"/>
            </w:pPr>
            <w:r/>
            <w:r>
              <w:rPr>
                <w:sz w:val="20"/>
              </w:rPr>
              <w:t>+0.229</w:t>
            </w:r>
          </w:p>
        </w:tc>
        <w:tc>
          <w:tcPr>
            <w:tcW w:type="dxa" w:w="1821"/>
          </w:tcPr>
          <w:p>
            <w:pPr>
              <w:spacing w:line="240" w:lineRule="auto" w:after="0"/>
            </w:pPr>
            <w:r/>
            <w:r>
              <w:rPr>
                <w:sz w:val="20"/>
              </w:rPr>
              <w:t>[+0.189, +0.267]</w:t>
            </w:r>
          </w:p>
        </w:tc>
        <w:tc>
          <w:tcPr>
            <w:tcW w:type="dxa" w:w="674"/>
          </w:tcPr>
          <w:p>
            <w:pPr>
              <w:spacing w:line="240" w:lineRule="auto" w:after="0"/>
            </w:pPr>
            <w:r/>
            <w:r>
              <w:rPr>
                <w:sz w:val="20"/>
              </w:rPr>
              <w:t>&lt;0.001</w:t>
            </w:r>
          </w:p>
        </w:tc>
      </w:tr>
      <w:tr>
        <w:tc>
          <w:tcPr>
            <w:tcW w:type="dxa" w:w="3034"/>
          </w:tcPr>
          <w:p>
            <w:pPr>
              <w:spacing w:line="240" w:lineRule="auto" w:after="0"/>
            </w:pPr>
            <w:r/>
            <w:r>
              <w:rPr>
                <w:sz w:val="20"/>
              </w:rPr>
              <w:t>Voxelised Poisson LR filter (frame-based ablation)</w:t>
            </w:r>
          </w:p>
        </w:tc>
        <w:tc>
          <w:tcPr>
            <w:tcW w:type="dxa" w:w="809"/>
          </w:tcPr>
          <w:p>
            <w:pPr>
              <w:spacing w:line="240" w:lineRule="auto" w:after="0"/>
            </w:pPr>
            <w:r/>
            <w:r>
              <w:rPr>
                <w:sz w:val="20"/>
              </w:rPr>
              <w:t>tuning</w:t>
            </w:r>
          </w:p>
        </w:tc>
        <w:tc>
          <w:tcPr>
            <w:tcW w:type="dxa" w:w="1416"/>
          </w:tcPr>
          <w:p>
            <w:pPr>
              <w:spacing w:line="240" w:lineRule="auto" w:after="0"/>
            </w:pPr>
            <w:r/>
            <w:r>
              <w:rPr>
                <w:sz w:val="20"/>
              </w:rPr>
              <w:t>0.683 ± 0.178</w:t>
            </w:r>
          </w:p>
        </w:tc>
        <w:tc>
          <w:tcPr>
            <w:tcW w:type="dxa" w:w="809"/>
          </w:tcPr>
          <w:p>
            <w:pPr>
              <w:spacing w:line="240" w:lineRule="auto" w:after="0"/>
            </w:pPr>
            <w:r/>
            <w:r>
              <w:rPr>
                <w:sz w:val="20"/>
              </w:rPr>
              <w:t>0.723</w:t>
            </w:r>
          </w:p>
        </w:tc>
        <w:tc>
          <w:tcPr>
            <w:tcW w:type="dxa" w:w="674"/>
          </w:tcPr>
          <w:p>
            <w:pPr>
              <w:spacing w:line="240" w:lineRule="auto" w:after="0"/>
            </w:pPr>
            <w:r/>
            <w:r>
              <w:rPr>
                <w:sz w:val="20"/>
              </w:rPr>
              <w:t>0.033</w:t>
            </w:r>
          </w:p>
        </w:tc>
        <w:tc>
          <w:tcPr>
            <w:tcW w:type="dxa" w:w="674"/>
          </w:tcPr>
          <w:p>
            <w:pPr>
              <w:spacing w:line="240" w:lineRule="auto" w:after="0"/>
            </w:pPr>
            <w:r/>
            <w:r>
              <w:rPr>
                <w:sz w:val="20"/>
              </w:rPr>
              <w:t>0.009</w:t>
            </w:r>
          </w:p>
        </w:tc>
        <w:tc>
          <w:tcPr>
            <w:tcW w:type="dxa" w:w="674"/>
          </w:tcPr>
          <w:p>
            <w:pPr>
              <w:spacing w:line="240" w:lineRule="auto" w:after="0"/>
            </w:pPr>
            <w:r/>
            <w:r>
              <w:rPr>
                <w:sz w:val="20"/>
              </w:rPr>
              <w:t>0.997</w:t>
            </w:r>
          </w:p>
        </w:tc>
        <w:tc>
          <w:tcPr>
            <w:tcW w:type="dxa" w:w="809"/>
          </w:tcPr>
          <w:p>
            <w:pPr>
              <w:spacing w:line="240" w:lineRule="auto" w:after="0"/>
            </w:pPr>
            <w:r/>
            <w:r>
              <w:rPr>
                <w:sz w:val="20"/>
              </w:rPr>
              <w:t>+0.069</w:t>
            </w:r>
          </w:p>
        </w:tc>
        <w:tc>
          <w:tcPr>
            <w:tcW w:type="dxa" w:w="1821"/>
          </w:tcPr>
          <w:p>
            <w:pPr>
              <w:spacing w:line="240" w:lineRule="auto" w:after="0"/>
            </w:pPr>
            <w:r/>
            <w:r>
              <w:rPr>
                <w:sz w:val="20"/>
              </w:rPr>
              <w:t>[+0.030, +0.110]</w:t>
            </w:r>
          </w:p>
        </w:tc>
        <w:tc>
          <w:tcPr>
            <w:tcW w:type="dxa" w:w="674"/>
          </w:tcPr>
          <w:p>
            <w:pPr>
              <w:spacing w:line="240" w:lineRule="auto" w:after="0"/>
            </w:pPr>
            <w:r/>
            <w:r>
              <w:rPr>
                <w:sz w:val="20"/>
              </w:rPr>
              <w:t>0.006</w:t>
            </w:r>
          </w:p>
        </w:tc>
      </w:tr>
      <w:tr>
        <w:tc>
          <w:tcPr>
            <w:tcW w:type="dxa" w:w="3034"/>
          </w:tcPr>
          <w:p>
            <w:pPr>
              <w:spacing w:line="240" w:lineRule="auto" w:after="0"/>
            </w:pPr>
            <w:r/>
            <w:r>
              <w:rPr>
                <w:sz w:val="20"/>
              </w:rPr>
              <w:t>PI-DC-DVS CNN</w:t>
            </w:r>
          </w:p>
        </w:tc>
        <w:tc>
          <w:tcPr>
            <w:tcW w:type="dxa" w:w="809"/>
          </w:tcPr>
          <w:p>
            <w:pPr>
              <w:spacing w:line="240" w:lineRule="auto" w:after="0"/>
            </w:pPr>
            <w:r/>
            <w:r>
              <w:rPr>
                <w:sz w:val="20"/>
              </w:rPr>
              <w:t>tuning</w:t>
            </w:r>
          </w:p>
        </w:tc>
        <w:tc>
          <w:tcPr>
            <w:tcW w:type="dxa" w:w="1416"/>
          </w:tcPr>
          <w:p>
            <w:pPr>
              <w:spacing w:line="240" w:lineRule="auto" w:after="0"/>
            </w:pPr>
            <w:r/>
            <w:r>
              <w:rPr>
                <w:sz w:val="20"/>
              </w:rPr>
              <w:t>0.702 ± 0.183</w:t>
            </w:r>
          </w:p>
        </w:tc>
        <w:tc>
          <w:tcPr>
            <w:tcW w:type="dxa" w:w="809"/>
          </w:tcPr>
          <w:p>
            <w:pPr>
              <w:spacing w:line="240" w:lineRule="auto" w:after="0"/>
            </w:pPr>
            <w:r/>
            <w:r>
              <w:rPr>
                <w:sz w:val="20"/>
              </w:rPr>
              <w:t>-</w:t>
            </w:r>
          </w:p>
        </w:tc>
        <w:tc>
          <w:tcPr>
            <w:tcW w:type="dxa" w:w="674"/>
          </w:tcPr>
          <w:p>
            <w:pPr>
              <w:spacing w:line="240" w:lineRule="auto" w:after="0"/>
            </w:pPr>
            <w:r/>
            <w:r>
              <w:rPr>
                <w:sz w:val="20"/>
              </w:rPr>
              <w:t>0.033</w:t>
            </w:r>
          </w:p>
        </w:tc>
        <w:tc>
          <w:tcPr>
            <w:tcW w:type="dxa" w:w="674"/>
          </w:tcPr>
          <w:p>
            <w:pPr>
              <w:spacing w:line="240" w:lineRule="auto" w:after="0"/>
            </w:pPr>
            <w:r/>
            <w:r>
              <w:rPr>
                <w:sz w:val="20"/>
              </w:rPr>
              <w:t>0.002</w:t>
            </w:r>
          </w:p>
        </w:tc>
        <w:tc>
          <w:tcPr>
            <w:tcW w:type="dxa" w:w="674"/>
          </w:tcPr>
          <w:p>
            <w:pPr>
              <w:spacing w:line="240" w:lineRule="auto" w:after="0"/>
            </w:pPr>
            <w:r/>
            <w:r>
              <w:rPr>
                <w:sz w:val="20"/>
              </w:rPr>
              <w:t>0.998</w:t>
            </w:r>
          </w:p>
        </w:tc>
        <w:tc>
          <w:tcPr>
            <w:tcW w:type="dxa" w:w="809"/>
          </w:tcPr>
          <w:p>
            <w:pPr>
              <w:spacing w:line="240" w:lineRule="auto" w:after="0"/>
            </w:pPr>
            <w:r/>
            <w:r>
              <w:rPr>
                <w:sz w:val="20"/>
              </w:rPr>
              <w:t>+0.051</w:t>
            </w:r>
          </w:p>
        </w:tc>
        <w:tc>
          <w:tcPr>
            <w:tcW w:type="dxa" w:w="1821"/>
          </w:tcPr>
          <w:p>
            <w:pPr>
              <w:spacing w:line="240" w:lineRule="auto" w:after="0"/>
            </w:pPr>
            <w:r/>
            <w:r>
              <w:rPr>
                <w:sz w:val="20"/>
              </w:rPr>
              <w:t>[+0.001, +0.102]</w:t>
            </w:r>
          </w:p>
        </w:tc>
        <w:tc>
          <w:tcPr>
            <w:tcW w:type="dxa" w:w="674"/>
          </w:tcPr>
          <w:p>
            <w:pPr>
              <w:spacing w:line="240" w:lineRule="auto" w:after="0"/>
            </w:pPr>
            <w:r/>
            <w:r>
              <w:rPr>
                <w:sz w:val="20"/>
              </w:rPr>
              <w:t>0.523</w:t>
            </w:r>
          </w:p>
        </w:tc>
      </w:tr>
      <w:tr>
        <w:tc>
          <w:tcPr>
            <w:tcW w:type="dxa" w:w="3034"/>
          </w:tcPr>
          <w:p>
            <w:pPr>
              <w:spacing w:line="240" w:lineRule="auto" w:after="0"/>
            </w:pPr>
            <w:r/>
            <w:r>
              <w:rPr>
                <w:sz w:val="20"/>
              </w:rPr>
              <w:t>Fano-factor score (ablation)</w:t>
            </w:r>
          </w:p>
        </w:tc>
        <w:tc>
          <w:tcPr>
            <w:tcW w:type="dxa" w:w="809"/>
          </w:tcPr>
          <w:p>
            <w:pPr>
              <w:spacing w:line="240" w:lineRule="auto" w:after="0"/>
            </w:pPr>
            <w:r/>
            <w:r>
              <w:rPr>
                <w:sz w:val="20"/>
              </w:rPr>
              <w:t>tuning</w:t>
            </w:r>
          </w:p>
        </w:tc>
        <w:tc>
          <w:tcPr>
            <w:tcW w:type="dxa" w:w="1416"/>
          </w:tcPr>
          <w:p>
            <w:pPr>
              <w:spacing w:line="240" w:lineRule="auto" w:after="0"/>
            </w:pPr>
            <w:r/>
            <w:r>
              <w:rPr>
                <w:sz w:val="20"/>
              </w:rPr>
              <w:t>0.553 ± 0.146</w:t>
            </w:r>
          </w:p>
        </w:tc>
        <w:tc>
          <w:tcPr>
            <w:tcW w:type="dxa" w:w="809"/>
          </w:tcPr>
          <w:p>
            <w:pPr>
              <w:spacing w:line="240" w:lineRule="auto" w:after="0"/>
            </w:pPr>
            <w:r/>
            <w:r>
              <w:rPr>
                <w:sz w:val="20"/>
              </w:rPr>
              <w:t>-</w:t>
            </w:r>
          </w:p>
        </w:tc>
        <w:tc>
          <w:tcPr>
            <w:tcW w:type="dxa" w:w="674"/>
          </w:tcPr>
          <w:p>
            <w:pPr>
              <w:spacing w:line="240" w:lineRule="auto" w:after="0"/>
            </w:pPr>
            <w:r/>
            <w:r>
              <w:rPr>
                <w:sz w:val="20"/>
              </w:rPr>
              <w:t>0.105</w:t>
            </w:r>
          </w:p>
        </w:tc>
        <w:tc>
          <w:tcPr>
            <w:tcW w:type="dxa" w:w="674"/>
          </w:tcPr>
          <w:p>
            <w:pPr>
              <w:spacing w:line="240" w:lineRule="auto" w:after="0"/>
            </w:pPr>
            <w:r/>
            <w:r>
              <w:rPr>
                <w:sz w:val="20"/>
              </w:rPr>
              <w:t>0.888</w:t>
            </w:r>
          </w:p>
        </w:tc>
        <w:tc>
          <w:tcPr>
            <w:tcW w:type="dxa" w:w="674"/>
          </w:tcPr>
          <w:p>
            <w:pPr>
              <w:spacing w:line="240" w:lineRule="auto" w:after="0"/>
            </w:pPr>
            <w:r/>
            <w:r>
              <w:rPr>
                <w:sz w:val="20"/>
              </w:rPr>
              <w:t>0.222</w:t>
            </w:r>
          </w:p>
        </w:tc>
        <w:tc>
          <w:tcPr>
            <w:tcW w:type="dxa" w:w="809"/>
          </w:tcPr>
          <w:p>
            <w:pPr>
              <w:spacing w:line="240" w:lineRule="auto" w:after="0"/>
            </w:pPr>
            <w:r/>
            <w:r>
              <w:rPr>
                <w:sz w:val="20"/>
              </w:rPr>
              <w:t>+0.200</w:t>
            </w:r>
          </w:p>
        </w:tc>
        <w:tc>
          <w:tcPr>
            <w:tcW w:type="dxa" w:w="1821"/>
          </w:tcPr>
          <w:p>
            <w:pPr>
              <w:spacing w:line="240" w:lineRule="auto" w:after="0"/>
            </w:pPr>
            <w:r/>
            <w:r>
              <w:rPr>
                <w:sz w:val="20"/>
              </w:rPr>
              <w:t>[+0.155, +0.243]</w:t>
            </w:r>
          </w:p>
        </w:tc>
        <w:tc>
          <w:tcPr>
            <w:tcW w:type="dxa" w:w="674"/>
          </w:tcPr>
          <w:p>
            <w:pPr>
              <w:spacing w:line="240" w:lineRule="auto" w:after="0"/>
            </w:pPr>
            <w:r/>
            <w:r>
              <w:rPr>
                <w:sz w:val="20"/>
              </w:rPr>
              <w:t>&lt;0.001</w:t>
            </w:r>
          </w:p>
        </w:tc>
      </w:tr>
      <w:tr>
        <w:tc>
          <w:tcPr>
            <w:tcW w:type="dxa" w:w="3034"/>
          </w:tcPr>
          <w:p>
            <w:pPr>
              <w:spacing w:line="240" w:lineRule="auto" w:after="0"/>
            </w:pPr>
            <w:r/>
            <w:r>
              <w:rPr>
                <w:sz w:val="20"/>
              </w:rPr>
              <w:t>EDnCNN-style CNN (supervised)</w:t>
            </w:r>
          </w:p>
        </w:tc>
        <w:tc>
          <w:tcPr>
            <w:tcW w:type="dxa" w:w="809"/>
          </w:tcPr>
          <w:p>
            <w:pPr>
              <w:spacing w:line="240" w:lineRule="auto" w:after="0"/>
            </w:pPr>
            <w:r/>
            <w:r>
              <w:rPr>
                <w:sz w:val="20"/>
              </w:rPr>
              <w:t>training</w:t>
            </w:r>
          </w:p>
        </w:tc>
        <w:tc>
          <w:tcPr>
            <w:tcW w:type="dxa" w:w="1416"/>
          </w:tcPr>
          <w:p>
            <w:pPr>
              <w:spacing w:line="240" w:lineRule="auto" w:after="0"/>
            </w:pPr>
            <w:r/>
            <w:r>
              <w:rPr>
                <w:sz w:val="20"/>
              </w:rPr>
              <w:t>0.823 ± 0.138</w:t>
            </w:r>
          </w:p>
        </w:tc>
        <w:tc>
          <w:tcPr>
            <w:tcW w:type="dxa" w:w="809"/>
          </w:tcPr>
          <w:p>
            <w:pPr>
              <w:spacing w:line="240" w:lineRule="auto" w:after="0"/>
            </w:pPr>
            <w:r/>
            <w:r>
              <w:rPr>
                <w:sz w:val="20"/>
              </w:rPr>
              <w:t>-</w:t>
            </w:r>
          </w:p>
        </w:tc>
        <w:tc>
          <w:tcPr>
            <w:tcW w:type="dxa" w:w="674"/>
          </w:tcPr>
          <w:p>
            <w:pPr>
              <w:spacing w:line="240" w:lineRule="auto" w:after="0"/>
            </w:pPr>
            <w:r/>
            <w:r>
              <w:rPr>
                <w:sz w:val="20"/>
              </w:rPr>
              <w:t>0.238</w:t>
            </w:r>
          </w:p>
        </w:tc>
        <w:tc>
          <w:tcPr>
            <w:tcW w:type="dxa" w:w="674"/>
          </w:tcPr>
          <w:p>
            <w:pPr>
              <w:spacing w:line="240" w:lineRule="auto" w:after="0"/>
            </w:pPr>
            <w:r/>
            <w:r>
              <w:rPr>
                <w:sz w:val="20"/>
              </w:rPr>
              <w:t>0.922</w:t>
            </w:r>
          </w:p>
        </w:tc>
        <w:tc>
          <w:tcPr>
            <w:tcW w:type="dxa" w:w="674"/>
          </w:tcPr>
          <w:p>
            <w:pPr>
              <w:spacing w:line="240" w:lineRule="auto" w:after="0"/>
            </w:pPr>
            <w:r/>
            <w:r>
              <w:rPr>
                <w:sz w:val="20"/>
              </w:rPr>
              <w:t>0.551</w:t>
            </w:r>
          </w:p>
        </w:tc>
        <w:tc>
          <w:tcPr>
            <w:tcW w:type="dxa" w:w="809"/>
          </w:tcPr>
          <w:p>
            <w:pPr>
              <w:spacing w:line="240" w:lineRule="auto" w:after="0"/>
            </w:pPr>
            <w:r/>
            <w:r>
              <w:rPr>
                <w:sz w:val="20"/>
              </w:rPr>
              <w:t>-0.070</w:t>
            </w:r>
          </w:p>
        </w:tc>
        <w:tc>
          <w:tcPr>
            <w:tcW w:type="dxa" w:w="1821"/>
          </w:tcPr>
          <w:p>
            <w:pPr>
              <w:spacing w:line="240" w:lineRule="auto" w:after="0"/>
            </w:pPr>
            <w:r/>
            <w:r>
              <w:rPr>
                <w:sz w:val="20"/>
              </w:rPr>
              <w:t>[-0.096, -0.043]</w:t>
            </w:r>
          </w:p>
        </w:tc>
        <w:tc>
          <w:tcPr>
            <w:tcW w:type="dxa" w:w="674"/>
          </w:tcPr>
          <w:p>
            <w:pPr>
              <w:spacing w:line="240" w:lineRule="auto" w:after="0"/>
            </w:pPr>
            <w:r/>
            <w:r>
              <w:rPr>
                <w:sz w:val="20"/>
              </w:rPr>
              <w:t>&lt;0.001</w:t>
            </w:r>
          </w:p>
        </w:tc>
      </w:tr>
      <w:tr>
        <w:tc>
          <w:tcPr>
            <w:tcW w:type="dxa" w:w="3034"/>
          </w:tcPr>
          <w:p>
            <w:pPr>
              <w:spacing w:line="240" w:lineRule="auto" w:after="0"/>
            </w:pPr>
            <w:r/>
            <w:r>
              <w:rPr>
                <w:sz w:val="20"/>
              </w:rPr>
              <w:t>MLPF (supervised)</w:t>
            </w:r>
          </w:p>
        </w:tc>
        <w:tc>
          <w:tcPr>
            <w:tcW w:type="dxa" w:w="809"/>
          </w:tcPr>
          <w:p>
            <w:pPr>
              <w:spacing w:line="240" w:lineRule="auto" w:after="0"/>
            </w:pPr>
            <w:r/>
            <w:r>
              <w:rPr>
                <w:sz w:val="20"/>
              </w:rPr>
              <w:t>training</w:t>
            </w:r>
          </w:p>
        </w:tc>
        <w:tc>
          <w:tcPr>
            <w:tcW w:type="dxa" w:w="1416"/>
          </w:tcPr>
          <w:p>
            <w:pPr>
              <w:spacing w:line="240" w:lineRule="auto" w:after="0"/>
            </w:pPr>
            <w:r/>
            <w:r>
              <w:rPr>
                <w:sz w:val="20"/>
              </w:rPr>
              <w:t>0.813 ± 0.140</w:t>
            </w:r>
          </w:p>
        </w:tc>
        <w:tc>
          <w:tcPr>
            <w:tcW w:type="dxa" w:w="809"/>
          </w:tcPr>
          <w:p>
            <w:pPr>
              <w:spacing w:line="240" w:lineRule="auto" w:after="0"/>
            </w:pPr>
            <w:r/>
            <w:r>
              <w:rPr>
                <w:sz w:val="20"/>
              </w:rPr>
              <w:t>-</w:t>
            </w:r>
          </w:p>
        </w:tc>
        <w:tc>
          <w:tcPr>
            <w:tcW w:type="dxa" w:w="674"/>
          </w:tcPr>
          <w:p>
            <w:pPr>
              <w:spacing w:line="240" w:lineRule="auto" w:after="0"/>
            </w:pPr>
            <w:r/>
            <w:r>
              <w:rPr>
                <w:sz w:val="20"/>
              </w:rPr>
              <w:t>0.211</w:t>
            </w:r>
          </w:p>
        </w:tc>
        <w:tc>
          <w:tcPr>
            <w:tcW w:type="dxa" w:w="674"/>
          </w:tcPr>
          <w:p>
            <w:pPr>
              <w:spacing w:line="240" w:lineRule="auto" w:after="0"/>
            </w:pPr>
            <w:r/>
            <w:r>
              <w:rPr>
                <w:sz w:val="20"/>
              </w:rPr>
              <w:t>0.918</w:t>
            </w:r>
          </w:p>
        </w:tc>
        <w:tc>
          <w:tcPr>
            <w:tcW w:type="dxa" w:w="674"/>
          </w:tcPr>
          <w:p>
            <w:pPr>
              <w:spacing w:line="240" w:lineRule="auto" w:after="0"/>
            </w:pPr>
            <w:r/>
            <w:r>
              <w:rPr>
                <w:sz w:val="20"/>
              </w:rPr>
              <w:t>0.535</w:t>
            </w:r>
          </w:p>
        </w:tc>
        <w:tc>
          <w:tcPr>
            <w:tcW w:type="dxa" w:w="809"/>
          </w:tcPr>
          <w:p>
            <w:pPr>
              <w:spacing w:line="240" w:lineRule="auto" w:after="0"/>
            </w:pPr>
            <w:r/>
            <w:r>
              <w:rPr>
                <w:sz w:val="20"/>
              </w:rPr>
              <w:t>-0.061</w:t>
            </w:r>
          </w:p>
        </w:tc>
        <w:tc>
          <w:tcPr>
            <w:tcW w:type="dxa" w:w="1821"/>
          </w:tcPr>
          <w:p>
            <w:pPr>
              <w:spacing w:line="240" w:lineRule="auto" w:after="0"/>
            </w:pPr>
            <w:r/>
            <w:r>
              <w:rPr>
                <w:sz w:val="20"/>
              </w:rPr>
              <w:t>[-0.086, -0.033]</w:t>
            </w:r>
          </w:p>
        </w:tc>
        <w:tc>
          <w:tcPr>
            <w:tcW w:type="dxa" w:w="674"/>
          </w:tcPr>
          <w:p>
            <w:pPr>
              <w:spacing w:line="240" w:lineRule="auto" w:after="0"/>
            </w:pPr>
            <w:r/>
            <w:r>
              <w:rPr>
                <w:sz w:val="20"/>
              </w:rPr>
              <w:t>0.002</w:t>
            </w:r>
          </w:p>
        </w:tc>
      </w:tr>
    </w:tbl>
    <w:p>
      <w:pPr>
        <w:spacing w:after="120"/>
      </w:pPr>
    </w:p>
    <w:p>
      <w:pPr>
        <w:sectPr>
          <w:pgSz w:w="16838" w:h="11906" w:orient="landscape"/>
          <w:pgMar w:top="2438" w:right="2721" w:bottom="2438" w:left="2721" w:header="720" w:footer="720" w:gutter="0"/>
          <w:cols w:space="720"/>
          <w:docGrid w:linePitch="360"/>
          <w:lnNumType w:countBy="1" w:restart="continuous"/>
        </w:sectPr>
      </w:pPr>
    </w:p>
    <w:p>
      <w:pPr>
        <w:keepNext/>
        <w:spacing w:before="240"/>
        <w:jc w:val="center"/>
      </w:pPr>
      <w:r>
        <w:drawing>
          <wp:inline xmlns:a="http://schemas.openxmlformats.org/drawingml/2006/main" xmlns:pic="http://schemas.openxmlformats.org/drawingml/2006/picture">
            <wp:extent cx="4103999" cy="3507240"/>
            <wp:docPr id="2" name="Picture 2"/>
            <wp:cNvGraphicFramePr>
              <a:graphicFrameLocks noChangeAspect="1"/>
            </wp:cNvGraphicFramePr>
            <a:graphic>
              <a:graphicData uri="http://schemas.openxmlformats.org/drawingml/2006/picture">
                <pic:pic>
                  <pic:nvPicPr>
                    <pic:cNvPr id="0" name="fig2_methods_auc.png"/>
                    <pic:cNvPicPr/>
                  </pic:nvPicPr>
                  <pic:blipFill>
                    <a:blip r:embed="rId11"/>
                    <a:stretch>
                      <a:fillRect/>
                    </a:stretch>
                  </pic:blipFill>
                  <pic:spPr>
                    <a:xfrm>
                      <a:off x="0" y="0"/>
                      <a:ext cx="4103999" cy="3507240"/>
                    </a:xfrm>
                    <a:prstGeom prst="rect"/>
                  </pic:spPr>
                </pic:pic>
              </a:graphicData>
            </a:graphic>
          </wp:inline>
        </w:drawing>
      </w:r>
    </w:p>
    <w:p>
      <w:pPr>
        <w:spacing w:before="120" w:after="280" w:line="240" w:lineRule="auto"/>
      </w:pPr>
      <w:r>
        <w:rPr>
          <w:b w:val="0"/>
          <w:i w:val="0"/>
          <w:sz w:val="16"/>
        </w:rPr>
        <w:t>Fig. 2. Mean ROC-AUC with SD over the 43 EBSSA recordings for all methods in Table 1. Bars: configuration tuned on labels by grouped cross-validation (supervised networks: trained). Open circles: the same method at one fixed configuration chosen without labels (published default; deployment configuration of the proposal), where one exists. Dashed line: the proposed rate-adaptive detector without labels; dotted line: chance. Colours group the proposed method, published unsupervised event filters, event-driven ablations, frame-based and label-free learned ablations, and supervised networks.</w:t>
      </w:r>
    </w:p>
    <w:p>
      <w:pPr>
        <w:spacing w:after="120" w:before="0"/>
      </w:pPr>
      <w:r>
        <w:rPr>
          <w:b w:val="0"/>
          <w:i w:val="0"/>
        </w:rPr>
        <w:t>Fig. 3 shows the paired per-recording comparison. The proposed detector was above the tuned event bilateral filter on 18 of 43 recordings, above tuned YNoise on 7, and above its own voxelised form on 31. Recording-to-recording variation was large for every method, and the two sensor models behaved differently (Section 5.3), which is why the recording rather than the event is the statistical unit.</w:t>
      </w:r>
    </w:p>
    <w:p>
      <w:pPr>
        <w:keepNext/>
        <w:spacing w:before="240"/>
        <w:jc w:val="center"/>
      </w:pPr>
      <w:r>
        <w:drawing>
          <wp:inline xmlns:a="http://schemas.openxmlformats.org/drawingml/2006/main" xmlns:pic="http://schemas.openxmlformats.org/drawingml/2006/picture">
            <wp:extent cx="3840480" cy="4023657"/>
            <wp:docPr id="3" name="Picture 3"/>
            <wp:cNvGraphicFramePr>
              <a:graphicFrameLocks noChangeAspect="1"/>
            </wp:cNvGraphicFramePr>
            <a:graphic>
              <a:graphicData uri="http://schemas.openxmlformats.org/drawingml/2006/picture">
                <pic:pic>
                  <pic:nvPicPr>
                    <pic:cNvPr id="0" name="fig3_paired.png"/>
                    <pic:cNvPicPr/>
                  </pic:nvPicPr>
                  <pic:blipFill>
                    <a:blip r:embed="rId12"/>
                    <a:stretch>
                      <a:fillRect/>
                    </a:stretch>
                  </pic:blipFill>
                  <pic:spPr>
                    <a:xfrm>
                      <a:off x="0" y="0"/>
                      <a:ext cx="3840480" cy="4023657"/>
                    </a:xfrm>
                    <a:prstGeom prst="rect"/>
                  </pic:spPr>
                </pic:pic>
              </a:graphicData>
            </a:graphic>
          </wp:inline>
        </w:drawing>
      </w:r>
    </w:p>
    <w:p>
      <w:pPr>
        <w:spacing w:before="120" w:after="280" w:line="240" w:lineRule="auto"/>
      </w:pPr>
      <w:r>
        <w:rPr>
          <w:b w:val="0"/>
          <w:i w:val="0"/>
          <w:sz w:val="16"/>
        </w:rPr>
        <w:t>Fig. 3. Per-recording ROC-AUC of the proposed detector against (a) the event bilateral filter, (b) YNoise, (c) its voxelised, frame-based form and (d) the supervised MLPF-style network. Circles: 180 x 240-pixel sensor; squares: 240 x 304-pixel sensor. Points above the diagonal favour the proposed detector. ΔAUC and Holm-adjusted p refer to the paired Wilcoxon test over 43 recordings.</w:t>
      </w:r>
    </w:p>
    <w:p>
      <w:pPr>
        <w:keepNext/>
        <w:spacing w:before="160" w:after="80"/>
      </w:pPr>
      <w:r>
        <w:rPr>
          <w:rFonts w:ascii="Times New Roman" w:hAnsi="Times New Roman"/>
          <w:i/>
          <w:sz w:val="20"/>
        </w:rPr>
        <w:t>5.2. Ablations</w:t>
      </w:r>
    </w:p>
    <w:p>
      <w:pPr>
        <w:spacing w:after="120" w:before="0"/>
      </w:pPr>
      <w:r>
        <w:rPr>
          <w:b w:val="0"/>
          <w:i w:val="0"/>
        </w:rPr>
        <w:t>Replacing the event-driven neighbourhood with a voxel grid lowered AUC from 0.753 to 0.683 (difference +0.069, Holm-adjusted p = 0.0061), because fixed time bins split tracks across bin boundaries and the cross-validated bin count is a compromise across recordings with very different event rates. Replacing the Poisson probability with a heuristic score while keeping the event-driven neighbourhood made no significant difference for the bilateral weight (0.774, p = 1.00) but degraded the double-window rule (0.563). The other event-driven alternatives were significantly worse (0.694 to 0.523). The Fano-factor score reached 0.553, close to chance, and the physics-informed network 0.702 at about 12 times the runtime. The probability output therefore matters mainly for calibration (Section 5.5); the event-driven neighbourhood matters for both accuracy and cost. The rate-adaptive window, cross-validated over k, reached 0.774 (difference from the fixed window -0.022, Holm-adjusted p = 0.041).</w:t>
      </w:r>
    </w:p>
    <w:p>
      <w:pPr>
        <w:keepNext/>
        <w:spacing w:before="160" w:after="80"/>
      </w:pPr>
      <w:r>
        <w:rPr>
          <w:rFonts w:ascii="Times New Roman" w:hAnsi="Times New Roman"/>
          <w:i/>
          <w:sz w:val="20"/>
        </w:rPr>
        <w:t>5.3. Stratified results</w:t>
      </w:r>
    </w:p>
    <w:p>
      <w:pPr>
        <w:spacing w:after="120" w:before="0"/>
      </w:pPr>
      <w:r>
        <w:rPr>
          <w:b w:val="0"/>
          <w:i w:val="0"/>
        </w:rPr>
        <w:t>Supplementary Table S3 stratifies the main comparison. On the 180 x 240-pixel sensor the proposed detector (0.779) was -0.068 from the event bilateral filter and -0.074 from YNoise; on the 240 x 304-pixel sensor (0.698) the gaps were -0.009 and -0.127. Across the event-rate split the proposed detector moved by 0.011 AUC, the bilateral filter by 0.051 and YNoise by 0.039. These strata are exploratory: they contain 14 to 29 recordings each and were not pre-specified.</w:t>
      </w:r>
    </w:p>
    <w:p>
      <w:pPr>
        <w:keepNext/>
        <w:spacing w:before="160" w:after="80"/>
      </w:pPr>
      <w:r>
        <w:rPr>
          <w:rFonts w:ascii="Times New Roman" w:hAnsi="Times New Roman"/>
          <w:i/>
          <w:sz w:val="20"/>
        </w:rPr>
        <w:t>5.4. Cost versus sparsity</w:t>
      </w:r>
    </w:p>
    <w:p>
      <w:pPr>
        <w:spacing w:after="120" w:before="0"/>
      </w:pPr>
      <w:r>
        <w:rPr>
          <w:b w:val="0"/>
          <w:i w:val="0"/>
        </w:rPr>
        <w:t>Supplementary Fig. S1 and Supplementary Table S4 show the cost claim. The wall-clock time of the proposed detector fell with the number of events with an exponent of 0.81: from 53 ms on the full stream to 1.4 ms at one percent of the events, with peak memory falling from 12.9 to 1.9 MB. The voxelised form of the same test had an exponent of 0.02: its time stayed at about 0.5 s and its memory at 170 MB regardless of sparsity, so that at one percent of the events it was 322 times slower and spent 224 microseconds per event against 0.70 microseconds. The frame-based bilateral and background-activity filters showed the same plateau (exponents 0.01 and 0.12), while the event-driven comparators scaled like the proposal (YNoise 1.00, event-driven bilateral 0.96). The zero-knowledge form, which additionally estimates the rate map and chooses its own window, cost 276 ns per event on the full stream (exponent 0.74).</w:t>
      </w:r>
    </w:p>
    <w:p>
      <w:pPr>
        <w:keepNext/>
        <w:spacing w:before="160" w:after="80"/>
      </w:pPr>
      <w:r>
        <w:rPr>
          <w:rFonts w:ascii="Times New Roman" w:hAnsi="Times New Roman"/>
          <w:i/>
          <w:sz w:val="20"/>
        </w:rPr>
        <w:t>5.5. Self-calibrated operating points</w:t>
      </w:r>
    </w:p>
    <w:p>
      <w:pPr>
        <w:spacing w:after="120" w:before="0"/>
      </w:pPr>
      <w:r>
        <w:rPr>
          <w:b w:val="0"/>
          <w:i w:val="0"/>
        </w:rPr>
        <w:t>Fig. 4 and Table 2 report the label-free operating points of Eq. (5), with every comparator at its cross-validated configuration. For requested false-alarm budgets of 0.001, 0.01, 0.05 the proposed detector achieved median false-positive rates of 0.0007, 0.0088, 0.0474 on the true background events, i.e. it stayed within budget at every level, as did the multiscale variant (0.0006, 0.0085, 0.0476). YNoise, whose score is an integer density, gave 0.0001, 0.0040, 0.0242: the quantile falls inside a tie and every tied event is passed. The event-driven bilateral score gave 0.0010, 0.0100 (0% over), 0.0492 but detected 0.000 of the object events at a requested 0.01. At a requested 0.01 the median detection rate was 0.148 for the proposed detector and 0.237 for YNoise, and the partial AUC below 0.01 was 0.601 against 0.696 (below 0.001: 0.551 against 0.633). Where YNoise is tuned on labels it detects more object events at these budgets; the point of this section is that with one fixed configuration and no labels the proposed detector met the requested budget at every level, because its score is a continuous probability without the ties of a density count.</w:t>
      </w:r>
    </w:p>
    <w:p>
      <w:pPr>
        <w:keepNext/>
        <w:spacing w:before="240"/>
        <w:jc w:val="center"/>
      </w:pPr>
      <w:r>
        <w:drawing>
          <wp:inline xmlns:a="http://schemas.openxmlformats.org/drawingml/2006/main" xmlns:pic="http://schemas.openxmlformats.org/drawingml/2006/picture">
            <wp:extent cx="4103999" cy="1611250"/>
            <wp:docPr id="4" name="Picture 4"/>
            <wp:cNvGraphicFramePr>
              <a:graphicFrameLocks noChangeAspect="1"/>
            </wp:cNvGraphicFramePr>
            <a:graphic>
              <a:graphicData uri="http://schemas.openxmlformats.org/drawingml/2006/picture">
                <pic:pic>
                  <pic:nvPicPr>
                    <pic:cNvPr id="0" name="fig5_calibration.png"/>
                    <pic:cNvPicPr/>
                  </pic:nvPicPr>
                  <pic:blipFill>
                    <a:blip r:embed="rId13"/>
                    <a:stretch>
                      <a:fillRect/>
                    </a:stretch>
                  </pic:blipFill>
                  <pic:spPr>
                    <a:xfrm>
                      <a:off x="0" y="0"/>
                      <a:ext cx="4103999" cy="1611250"/>
                    </a:xfrm>
                    <a:prstGeom prst="rect"/>
                  </pic:spPr>
                </pic:pic>
              </a:graphicData>
            </a:graphic>
          </wp:inline>
        </w:drawing>
      </w:r>
    </w:p>
    <w:p>
      <w:pPr>
        <w:spacing w:before="120" w:after="280" w:line="240" w:lineRule="auto"/>
      </w:pPr>
      <w:r>
        <w:rPr>
          <w:b w:val="0"/>
          <w:i w:val="0"/>
          <w:sz w:val="16"/>
        </w:rPr>
        <w:t>Fig. 4. Self-calibrated operating points and low-false-positive performance on EBSSA. (a) Median achieved false-positive rate on background events against the requested budget α when each score is cut at its own α-quantile (Eq. (5)); dotted line: ideal calibration. (b) Median detection rate of object events at the same budgets. (c) Standardised partial AUC below false-positive rates of 0.01 and 0.001 (0.5 is chance).</w:t>
      </w:r>
    </w:p>
    <w:p>
      <w:pPr>
        <w:keepNext/>
        <w:spacing w:before="240" w:after="80" w:line="240" w:lineRule="auto"/>
      </w:pPr>
      <w:r>
        <w:rPr>
          <w:b w:val="0"/>
          <w:i w:val="0"/>
          <w:sz w:val="16"/>
        </w:rPr>
        <w:t>Table 2. Median achieved false-positive rate (FPR) and detection rate (TPR) over EBSSA recordings when each detector is cut at the α-quantile of its own score, without labels.</w:t>
      </w:r>
    </w:p>
    <w:tbl>
      <w:tblPr>
        <w:tblStyle w:val="TableGrid"/>
        <w:tblW w:type="auto" w:w="0"/>
        <w:tblLayout w:type="fixed"/>
        <w:tblLook w:firstColumn="1" w:firstRow="1" w:lastColumn="0" w:lastRow="0" w:noHBand="0" w:noVBand="1" w:val="04A0"/>
      </w:tblPr>
      <w:tblGrid>
        <w:gridCol w:w="2085"/>
        <w:gridCol w:w="730"/>
        <w:gridCol w:w="730"/>
        <w:gridCol w:w="730"/>
        <w:gridCol w:w="730"/>
        <w:gridCol w:w="730"/>
        <w:gridCol w:w="730"/>
      </w:tblGrid>
      <w:tr>
        <w:tc>
          <w:tcPr>
            <w:tcW w:type="dxa" w:w="2085"/>
          </w:tcPr>
          <w:p>
            <w:pPr>
              <w:spacing w:line="240" w:lineRule="auto" w:after="0"/>
            </w:pPr>
            <w:r/>
            <w:r>
              <w:rPr>
                <w:b/>
                <w:sz w:val="20"/>
              </w:rPr>
              <w:t>Method</w:t>
            </w:r>
          </w:p>
        </w:tc>
        <w:tc>
          <w:tcPr>
            <w:tcW w:type="dxa" w:w="730"/>
          </w:tcPr>
          <w:p>
            <w:pPr>
              <w:spacing w:line="240" w:lineRule="auto" w:after="0"/>
            </w:pPr>
            <w:r/>
            <w:r>
              <w:rPr>
                <w:b/>
                <w:sz w:val="20"/>
              </w:rPr>
              <w:t>FPR (α = 0.001)</w:t>
            </w:r>
          </w:p>
        </w:tc>
        <w:tc>
          <w:tcPr>
            <w:tcW w:type="dxa" w:w="730"/>
          </w:tcPr>
          <w:p>
            <w:pPr>
              <w:spacing w:line="240" w:lineRule="auto" w:after="0"/>
            </w:pPr>
            <w:r/>
            <w:r>
              <w:rPr>
                <w:b/>
                <w:sz w:val="20"/>
              </w:rPr>
              <w:t>TPR (α = 0.001)</w:t>
            </w:r>
          </w:p>
        </w:tc>
        <w:tc>
          <w:tcPr>
            <w:tcW w:type="dxa" w:w="730"/>
          </w:tcPr>
          <w:p>
            <w:pPr>
              <w:spacing w:line="240" w:lineRule="auto" w:after="0"/>
            </w:pPr>
            <w:r/>
            <w:r>
              <w:rPr>
                <w:b/>
                <w:sz w:val="20"/>
              </w:rPr>
              <w:t>FPR (α = 0.01)</w:t>
            </w:r>
          </w:p>
        </w:tc>
        <w:tc>
          <w:tcPr>
            <w:tcW w:type="dxa" w:w="730"/>
          </w:tcPr>
          <w:p>
            <w:pPr>
              <w:spacing w:line="240" w:lineRule="auto" w:after="0"/>
            </w:pPr>
            <w:r/>
            <w:r>
              <w:rPr>
                <w:b/>
                <w:sz w:val="20"/>
              </w:rPr>
              <w:t>TPR (α = 0.01)</w:t>
            </w:r>
          </w:p>
        </w:tc>
        <w:tc>
          <w:tcPr>
            <w:tcW w:type="dxa" w:w="730"/>
          </w:tcPr>
          <w:p>
            <w:pPr>
              <w:spacing w:line="240" w:lineRule="auto" w:after="0"/>
            </w:pPr>
            <w:r/>
            <w:r>
              <w:rPr>
                <w:b/>
                <w:sz w:val="20"/>
              </w:rPr>
              <w:t>FPR (α = 0.05)</w:t>
            </w:r>
          </w:p>
        </w:tc>
        <w:tc>
          <w:tcPr>
            <w:tcW w:type="dxa" w:w="730"/>
          </w:tcPr>
          <w:p>
            <w:pPr>
              <w:spacing w:line="240" w:lineRule="auto" w:after="0"/>
            </w:pPr>
            <w:r/>
            <w:r>
              <w:rPr>
                <w:b/>
                <w:sz w:val="20"/>
              </w:rPr>
              <w:t>TPR (α = 0.05)</w:t>
            </w:r>
          </w:p>
        </w:tc>
      </w:tr>
      <w:tr>
        <w:tc>
          <w:tcPr>
            <w:tcW w:type="dxa" w:w="2085"/>
          </w:tcPr>
          <w:p>
            <w:pPr>
              <w:spacing w:line="240" w:lineRule="auto" w:after="0"/>
            </w:pPr>
            <w:r/>
            <w:r>
              <w:rPr>
                <w:sz w:val="20"/>
              </w:rPr>
              <w:t>Event-driven Poisson LR filter (proposed)</w:t>
            </w:r>
          </w:p>
        </w:tc>
        <w:tc>
          <w:tcPr>
            <w:tcW w:type="dxa" w:w="730"/>
          </w:tcPr>
          <w:p>
            <w:pPr>
              <w:spacing w:line="240" w:lineRule="auto" w:after="0"/>
            </w:pPr>
            <w:r/>
            <w:r>
              <w:rPr>
                <w:sz w:val="20"/>
              </w:rPr>
              <w:t>0.0007</w:t>
            </w:r>
          </w:p>
        </w:tc>
        <w:tc>
          <w:tcPr>
            <w:tcW w:type="dxa" w:w="730"/>
          </w:tcPr>
          <w:p>
            <w:pPr>
              <w:spacing w:line="240" w:lineRule="auto" w:after="0"/>
            </w:pPr>
            <w:r/>
            <w:r>
              <w:rPr>
                <w:sz w:val="20"/>
              </w:rPr>
              <w:t>0.019</w:t>
            </w:r>
          </w:p>
        </w:tc>
        <w:tc>
          <w:tcPr>
            <w:tcW w:type="dxa" w:w="730"/>
          </w:tcPr>
          <w:p>
            <w:pPr>
              <w:spacing w:line="240" w:lineRule="auto" w:after="0"/>
            </w:pPr>
            <w:r/>
            <w:r>
              <w:rPr>
                <w:sz w:val="20"/>
              </w:rPr>
              <w:t>0.0088</w:t>
            </w:r>
          </w:p>
        </w:tc>
        <w:tc>
          <w:tcPr>
            <w:tcW w:type="dxa" w:w="730"/>
          </w:tcPr>
          <w:p>
            <w:pPr>
              <w:spacing w:line="240" w:lineRule="auto" w:after="0"/>
            </w:pPr>
            <w:r/>
            <w:r>
              <w:rPr>
                <w:sz w:val="20"/>
              </w:rPr>
              <w:t>0.148</w:t>
            </w:r>
          </w:p>
        </w:tc>
        <w:tc>
          <w:tcPr>
            <w:tcW w:type="dxa" w:w="730"/>
          </w:tcPr>
          <w:p>
            <w:pPr>
              <w:spacing w:line="240" w:lineRule="auto" w:after="0"/>
            </w:pPr>
            <w:r/>
            <w:r>
              <w:rPr>
                <w:sz w:val="20"/>
              </w:rPr>
              <w:t>0.0474</w:t>
            </w:r>
          </w:p>
        </w:tc>
        <w:tc>
          <w:tcPr>
            <w:tcW w:type="dxa" w:w="730"/>
          </w:tcPr>
          <w:p>
            <w:pPr>
              <w:spacing w:line="240" w:lineRule="auto" w:after="0"/>
            </w:pPr>
            <w:r/>
            <w:r>
              <w:rPr>
                <w:sz w:val="20"/>
              </w:rPr>
              <w:t>0.386</w:t>
            </w:r>
          </w:p>
        </w:tc>
      </w:tr>
      <w:tr>
        <w:tc>
          <w:tcPr>
            <w:tcW w:type="dxa" w:w="2085"/>
          </w:tcPr>
          <w:p>
            <w:pPr>
              <w:spacing w:line="240" w:lineRule="auto" w:after="0"/>
            </w:pPr>
            <w:r/>
            <w:r>
              <w:rPr>
                <w:sz w:val="20"/>
              </w:rPr>
              <w:t>Multiscale Fisher combination (proposed, 3 scales)</w:t>
            </w:r>
          </w:p>
        </w:tc>
        <w:tc>
          <w:tcPr>
            <w:tcW w:type="dxa" w:w="730"/>
          </w:tcPr>
          <w:p>
            <w:pPr>
              <w:spacing w:line="240" w:lineRule="auto" w:after="0"/>
            </w:pPr>
            <w:r/>
            <w:r>
              <w:rPr>
                <w:sz w:val="20"/>
              </w:rPr>
              <w:t>0.0006</w:t>
            </w:r>
          </w:p>
        </w:tc>
        <w:tc>
          <w:tcPr>
            <w:tcW w:type="dxa" w:w="730"/>
          </w:tcPr>
          <w:p>
            <w:pPr>
              <w:spacing w:line="240" w:lineRule="auto" w:after="0"/>
            </w:pPr>
            <w:r/>
            <w:r>
              <w:rPr>
                <w:sz w:val="20"/>
              </w:rPr>
              <w:t>0.002</w:t>
            </w:r>
          </w:p>
        </w:tc>
        <w:tc>
          <w:tcPr>
            <w:tcW w:type="dxa" w:w="730"/>
          </w:tcPr>
          <w:p>
            <w:pPr>
              <w:spacing w:line="240" w:lineRule="auto" w:after="0"/>
            </w:pPr>
            <w:r/>
            <w:r>
              <w:rPr>
                <w:sz w:val="20"/>
              </w:rPr>
              <w:t>0.0085</w:t>
            </w:r>
          </w:p>
        </w:tc>
        <w:tc>
          <w:tcPr>
            <w:tcW w:type="dxa" w:w="730"/>
          </w:tcPr>
          <w:p>
            <w:pPr>
              <w:spacing w:line="240" w:lineRule="auto" w:after="0"/>
            </w:pPr>
            <w:r/>
            <w:r>
              <w:rPr>
                <w:sz w:val="20"/>
              </w:rPr>
              <w:t>0.111</w:t>
            </w:r>
          </w:p>
        </w:tc>
        <w:tc>
          <w:tcPr>
            <w:tcW w:type="dxa" w:w="730"/>
          </w:tcPr>
          <w:p>
            <w:pPr>
              <w:spacing w:line="240" w:lineRule="auto" w:after="0"/>
            </w:pPr>
            <w:r/>
            <w:r>
              <w:rPr>
                <w:sz w:val="20"/>
              </w:rPr>
              <w:t>0.0476</w:t>
            </w:r>
          </w:p>
        </w:tc>
        <w:tc>
          <w:tcPr>
            <w:tcW w:type="dxa" w:w="730"/>
          </w:tcPr>
          <w:p>
            <w:pPr>
              <w:spacing w:line="240" w:lineRule="auto" w:after="0"/>
            </w:pPr>
            <w:r/>
            <w:r>
              <w:rPr>
                <w:sz w:val="20"/>
              </w:rPr>
              <w:t>0.367</w:t>
            </w:r>
          </w:p>
        </w:tc>
      </w:tr>
      <w:tr>
        <w:tc>
          <w:tcPr>
            <w:tcW w:type="dxa" w:w="2085"/>
          </w:tcPr>
          <w:p>
            <w:pPr>
              <w:spacing w:line="240" w:lineRule="auto" w:after="0"/>
            </w:pPr>
            <w:r/>
            <w:r>
              <w:rPr>
                <w:sz w:val="20"/>
              </w:rPr>
              <w:t>YNoise</w:t>
            </w:r>
          </w:p>
        </w:tc>
        <w:tc>
          <w:tcPr>
            <w:tcW w:type="dxa" w:w="730"/>
          </w:tcPr>
          <w:p>
            <w:pPr>
              <w:spacing w:line="240" w:lineRule="auto" w:after="0"/>
            </w:pPr>
            <w:r/>
            <w:r>
              <w:rPr>
                <w:sz w:val="20"/>
              </w:rPr>
              <w:t>0.0001</w:t>
            </w:r>
          </w:p>
        </w:tc>
        <w:tc>
          <w:tcPr>
            <w:tcW w:type="dxa" w:w="730"/>
          </w:tcPr>
          <w:p>
            <w:pPr>
              <w:spacing w:line="240" w:lineRule="auto" w:after="0"/>
            </w:pPr>
            <w:r/>
            <w:r>
              <w:rPr>
                <w:sz w:val="20"/>
              </w:rPr>
              <w:t>0.057</w:t>
            </w:r>
          </w:p>
        </w:tc>
        <w:tc>
          <w:tcPr>
            <w:tcW w:type="dxa" w:w="730"/>
          </w:tcPr>
          <w:p>
            <w:pPr>
              <w:spacing w:line="240" w:lineRule="auto" w:after="0"/>
            </w:pPr>
            <w:r/>
            <w:r>
              <w:rPr>
                <w:sz w:val="20"/>
              </w:rPr>
              <w:t>0.0040</w:t>
            </w:r>
          </w:p>
        </w:tc>
        <w:tc>
          <w:tcPr>
            <w:tcW w:type="dxa" w:w="730"/>
          </w:tcPr>
          <w:p>
            <w:pPr>
              <w:spacing w:line="240" w:lineRule="auto" w:after="0"/>
            </w:pPr>
            <w:r/>
            <w:r>
              <w:rPr>
                <w:sz w:val="20"/>
              </w:rPr>
              <w:t>0.237</w:t>
            </w:r>
          </w:p>
        </w:tc>
        <w:tc>
          <w:tcPr>
            <w:tcW w:type="dxa" w:w="730"/>
          </w:tcPr>
          <w:p>
            <w:pPr>
              <w:spacing w:line="240" w:lineRule="auto" w:after="0"/>
            </w:pPr>
            <w:r/>
            <w:r>
              <w:rPr>
                <w:sz w:val="20"/>
              </w:rPr>
              <w:t>0.0242</w:t>
            </w:r>
          </w:p>
        </w:tc>
        <w:tc>
          <w:tcPr>
            <w:tcW w:type="dxa" w:w="730"/>
          </w:tcPr>
          <w:p>
            <w:pPr>
              <w:spacing w:line="240" w:lineRule="auto" w:after="0"/>
            </w:pPr>
            <w:r/>
            <w:r>
              <w:rPr>
                <w:sz w:val="20"/>
              </w:rPr>
              <w:t>0.487</w:t>
            </w:r>
          </w:p>
        </w:tc>
      </w:tr>
      <w:tr>
        <w:tc>
          <w:tcPr>
            <w:tcW w:type="dxa" w:w="2085"/>
          </w:tcPr>
          <w:p>
            <w:pPr>
              <w:spacing w:line="240" w:lineRule="auto" w:after="0"/>
            </w:pPr>
            <w:r/>
            <w:r>
              <w:rPr>
                <w:sz w:val="20"/>
              </w:rPr>
              <w:t>Event bilateral filter (event-driven form)</w:t>
            </w:r>
          </w:p>
        </w:tc>
        <w:tc>
          <w:tcPr>
            <w:tcW w:type="dxa" w:w="730"/>
          </w:tcPr>
          <w:p>
            <w:pPr>
              <w:spacing w:line="240" w:lineRule="auto" w:after="0"/>
            </w:pPr>
            <w:r/>
            <w:r>
              <w:rPr>
                <w:sz w:val="20"/>
              </w:rPr>
              <w:t>0.0010</w:t>
            </w:r>
          </w:p>
        </w:tc>
        <w:tc>
          <w:tcPr>
            <w:tcW w:type="dxa" w:w="730"/>
          </w:tcPr>
          <w:p>
            <w:pPr>
              <w:spacing w:line="240" w:lineRule="auto" w:after="0"/>
            </w:pPr>
            <w:r/>
            <w:r>
              <w:rPr>
                <w:sz w:val="20"/>
              </w:rPr>
              <w:t>0.000</w:t>
            </w:r>
          </w:p>
        </w:tc>
        <w:tc>
          <w:tcPr>
            <w:tcW w:type="dxa" w:w="730"/>
          </w:tcPr>
          <w:p>
            <w:pPr>
              <w:spacing w:line="240" w:lineRule="auto" w:after="0"/>
            </w:pPr>
            <w:r/>
            <w:r>
              <w:rPr>
                <w:sz w:val="20"/>
              </w:rPr>
              <w:t>0.0100</w:t>
            </w:r>
          </w:p>
        </w:tc>
        <w:tc>
          <w:tcPr>
            <w:tcW w:type="dxa" w:w="730"/>
          </w:tcPr>
          <w:p>
            <w:pPr>
              <w:spacing w:line="240" w:lineRule="auto" w:after="0"/>
            </w:pPr>
            <w:r/>
            <w:r>
              <w:rPr>
                <w:sz w:val="20"/>
              </w:rPr>
              <w:t>0.000</w:t>
            </w:r>
          </w:p>
        </w:tc>
        <w:tc>
          <w:tcPr>
            <w:tcW w:type="dxa" w:w="730"/>
          </w:tcPr>
          <w:p>
            <w:pPr>
              <w:spacing w:line="240" w:lineRule="auto" w:after="0"/>
            </w:pPr>
            <w:r/>
            <w:r>
              <w:rPr>
                <w:sz w:val="20"/>
              </w:rPr>
              <w:t>0.0492</w:t>
            </w:r>
          </w:p>
        </w:tc>
        <w:tc>
          <w:tcPr>
            <w:tcW w:type="dxa" w:w="730"/>
          </w:tcPr>
          <w:p>
            <w:pPr>
              <w:spacing w:line="240" w:lineRule="auto" w:after="0"/>
            </w:pPr>
            <w:r/>
            <w:r>
              <w:rPr>
                <w:sz w:val="20"/>
              </w:rPr>
              <w:t>0.054</w:t>
            </w:r>
          </w:p>
        </w:tc>
      </w:tr>
    </w:tbl>
    <w:p>
      <w:pPr>
        <w:spacing w:after="120"/>
      </w:pPr>
    </w:p>
    <w:p>
      <w:pPr>
        <w:keepNext/>
        <w:spacing w:before="160" w:after="80"/>
      </w:pPr>
      <w:r>
        <w:rPr>
          <w:rFonts w:ascii="Times New Roman" w:hAnsi="Times New Roman"/>
          <w:i/>
          <w:sz w:val="20"/>
        </w:rPr>
        <w:t>5.6. Zero-knowledge deployment across the two EBSSA sensors</w:t>
      </w:r>
    </w:p>
    <w:p>
      <w:pPr>
        <w:spacing w:after="120" w:before="0"/>
      </w:pPr>
      <w:r>
        <w:rPr>
          <w:b w:val="0"/>
          <w:i w:val="0"/>
        </w:rPr>
        <w:t>Fig. 5 and Supplementary Table S5 report the protocol of Section 4.6. Without any tuning (protocol B), the fixed-window proposal reached 0.754 and the rate-adaptive form 0.781, against 0.738 for YNoise at its published defaults and 0.774 for the bilateral filter; the advantage of YNoise in Table 1 (0.844) therefore rests on its labelled tuning. Configuration transfer (protocol A) exposed the weakness of a window stated in milliseconds: the configuration selected on the 180 x 240-pixel sensor (W = 300 ms) lost 0.081 AUC on the other sensor, and the reverse transfer lost 0.057, because the denser sensor drives the tail probability into saturation (median fraction of scores equal to one 60% for the fixed configuration on the 240 x 304-pixel sensor against 0.1% on the other). The rate-adaptive window lost 0.009 and 0.022: stated as a count, the window carried over to a sensor with a different background rate. Fig. 5(a) shows the trade-off behind k: mean AUC peaked at k = 16 on the 180 x 240-pixel sensor and at k = 32 on the 240 x 304-pixel sensor, while the median saturated fraction on the denser sensor was 23% at k = 16 and 69% at k = 32, so k = 16 is the longest window that keeps the probability scale usable on both.</w:t>
      </w:r>
    </w:p>
    <w:p>
      <w:pPr>
        <w:keepNext/>
        <w:spacing w:before="240"/>
        <w:jc w:val="center"/>
      </w:pPr>
      <w:r>
        <w:drawing>
          <wp:inline xmlns:a="http://schemas.openxmlformats.org/drawingml/2006/main" xmlns:pic="http://schemas.openxmlformats.org/drawingml/2006/picture">
            <wp:extent cx="4103999" cy="1850262"/>
            <wp:docPr id="5" name="Picture 5"/>
            <wp:cNvGraphicFramePr>
              <a:graphicFrameLocks noChangeAspect="1"/>
            </wp:cNvGraphicFramePr>
            <a:graphic>
              <a:graphicData uri="http://schemas.openxmlformats.org/drawingml/2006/picture">
                <pic:pic>
                  <pic:nvPicPr>
                    <pic:cNvPr id="0" name="fig6_zero_knowledge.png"/>
                    <pic:cNvPicPr/>
                  </pic:nvPicPr>
                  <pic:blipFill>
                    <a:blip r:embed="rId14"/>
                    <a:stretch>
                      <a:fillRect/>
                    </a:stretch>
                  </pic:blipFill>
                  <pic:spPr>
                    <a:xfrm>
                      <a:off x="0" y="0"/>
                      <a:ext cx="4103999" cy="1850262"/>
                    </a:xfrm>
                    <a:prstGeom prst="rect"/>
                  </pic:spPr>
                </pic:pic>
              </a:graphicData>
            </a:graphic>
          </wp:inline>
        </w:drawing>
      </w:r>
    </w:p>
    <w:p>
      <w:pPr>
        <w:spacing w:before="120" w:after="280" w:line="240" w:lineRule="auto"/>
      </w:pPr>
      <w:r>
        <w:rPr>
          <w:b w:val="0"/>
          <w:i w:val="0"/>
          <w:sz w:val="16"/>
        </w:rPr>
        <w:t>Fig. 5. Zero-knowledge deployment on EBSSA. (a) Mean AUC (red) and median fraction of saturated scores (grey) of the rate-adaptive proposal against the dimensionless window k on the two sensor models; dotted line: deployment value. (b) AUC lost when the configuration selected on one sensor is applied to the other. (c) Median achieved false-positive rate on the target sensor with a threshold carried over from the other sensor (dashed) and recalibrated on the target stream without labels (solid); dotted line: ideal calibration.</w:t>
      </w:r>
    </w:p>
    <w:p>
      <w:pPr>
        <w:spacing w:after="120" w:before="0"/>
      </w:pPr>
      <w:r>
        <w:rPr>
          <w:b w:val="0"/>
          <w:i w:val="0"/>
        </w:rPr>
        <w:t>Threshold transfer (protocol C, Fig. 5(c)) shows why the operating point must be recalibrated on the target stream. A threshold fixed on the 240 x 304-pixel sensor for a requested 0.01 and applied to the other gave a median false-positive rate of 0.048 for the rate-adaptive proposal and 0.0018 for YNoise; in the opposite direction the transferred thresholds passed almost nothing (0.0023 and 0.0115). Recalibrating on the target stream with Eq. (5) brought the rate-adaptive proposal to 0.0094 and 0.0068 in the two directions, with detection rates of 0.107 and 0.209. The three protocols separate what is knowledge-free in the proposal: the threshold is, on the target stream; the window is, once stated as an expected count; the radius and k are constants chosen once on this dataset, whose transfer to a third sensor is tested in Section 5.8.</w:t>
      </w:r>
    </w:p>
    <w:p>
      <w:pPr>
        <w:keepNext/>
        <w:spacing w:before="160" w:after="80"/>
      </w:pPr>
      <w:r>
        <w:rPr>
          <w:rFonts w:ascii="Times New Roman" w:hAnsi="Times New Roman"/>
          <w:i/>
          <w:sz w:val="20"/>
        </w:rPr>
        <w:t>5.7. Parameter hand-over and two-stage cascade on EBSSA</w:t>
      </w:r>
    </w:p>
    <w:p>
      <w:pPr>
        <w:spacing w:after="120" w:before="0"/>
      </w:pPr>
      <w:r>
        <w:rPr>
          <w:b w:val="0"/>
          <w:i w:val="0"/>
        </w:rPr>
        <w:t>Table 3 and Fig. 6 report the hand-over. Setting the YNoise time constant to the rate-adaptive window of the proposal, per recording and without labels, raised its AUC over all 43 recordings from 0.738 at the published default to 0.841 (Wilcoxon p = 2.0e-11), which is 99.7% of the 0.844 that label-tuned cross-validation reached in Table 1, and above the zero-knowledge proposal itself (0.781, p = 2.3e-04). The gain held on both sensor models (0.732 to 0.865 and 0.750 to 0.790), where the handed-over windows had medians of 383 and 59 ms. The tuning that YNoise needed to reach its Table 1 value therefore did not have to come from labels: a time constant read from the background rate of the target stream closed most of the gap.</w:t>
      </w:r>
    </w:p>
    <w:p>
      <w:pPr>
        <w:keepNext/>
        <w:spacing w:before="240" w:after="80" w:line="240" w:lineRule="auto"/>
      </w:pPr>
      <w:r>
        <w:rPr>
          <w:b w:val="0"/>
          <w:i w:val="0"/>
          <w:sz w:val="16"/>
        </w:rPr>
        <w:t>Table 3. Parameter hand-over and two-stage cascade on all 43 EBSSA recordings. AUC: mean over recordings (pooled and per sensor model). Recall: fraction of object events passed by stage 1. Stage-2 time: median wall-clock time of YNoise on the passed events relative to YNoise on the whole stream. No labels are used by any row except the label-tuned reference.</w:t>
      </w:r>
    </w:p>
    <w:tbl>
      <w:tblPr>
        <w:tblStyle w:val="TableGrid"/>
        <w:tblW w:type="auto" w:w="0"/>
        <w:tblLayout w:type="fixed"/>
        <w:tblLook w:firstColumn="1" w:firstRow="1" w:lastColumn="0" w:lastRow="0" w:noHBand="0" w:noVBand="1" w:val="04A0"/>
      </w:tblPr>
      <w:tblGrid>
        <w:gridCol w:w="2435"/>
        <w:gridCol w:w="749"/>
        <w:gridCol w:w="843"/>
        <w:gridCol w:w="843"/>
        <w:gridCol w:w="843"/>
        <w:gridCol w:w="749"/>
      </w:tblGrid>
      <w:tr>
        <w:tc>
          <w:tcPr>
            <w:tcW w:type="dxa" w:w="2435"/>
          </w:tcPr>
          <w:p>
            <w:pPr>
              <w:spacing w:line="240" w:lineRule="auto" w:after="0"/>
            </w:pPr>
            <w:r/>
            <w:r>
              <w:rPr>
                <w:b/>
                <w:sz w:val="20"/>
              </w:rPr>
              <w:t>Configuration</w:t>
            </w:r>
          </w:p>
        </w:tc>
        <w:tc>
          <w:tcPr>
            <w:tcW w:type="dxa" w:w="749"/>
          </w:tcPr>
          <w:p>
            <w:pPr>
              <w:spacing w:line="240" w:lineRule="auto" w:after="0"/>
            </w:pPr>
            <w:r/>
            <w:r>
              <w:rPr>
                <w:b/>
                <w:sz w:val="20"/>
              </w:rPr>
              <w:t>AUC, all</w:t>
            </w:r>
          </w:p>
        </w:tc>
        <w:tc>
          <w:tcPr>
            <w:tcW w:type="dxa" w:w="843"/>
          </w:tcPr>
          <w:p>
            <w:pPr>
              <w:spacing w:line="240" w:lineRule="auto" w:after="0"/>
            </w:pPr>
            <w:r/>
            <w:r>
              <w:rPr>
                <w:b/>
                <w:sz w:val="20"/>
              </w:rPr>
              <w:t>AUC, 180 x 240</w:t>
            </w:r>
          </w:p>
        </w:tc>
        <w:tc>
          <w:tcPr>
            <w:tcW w:type="dxa" w:w="843"/>
          </w:tcPr>
          <w:p>
            <w:pPr>
              <w:spacing w:line="240" w:lineRule="auto" w:after="0"/>
            </w:pPr>
            <w:r/>
            <w:r>
              <w:rPr>
                <w:b/>
                <w:sz w:val="20"/>
              </w:rPr>
              <w:t>AUC, 240 x 304</w:t>
            </w:r>
          </w:p>
        </w:tc>
        <w:tc>
          <w:tcPr>
            <w:tcW w:type="dxa" w:w="843"/>
          </w:tcPr>
          <w:p>
            <w:pPr>
              <w:spacing w:line="240" w:lineRule="auto" w:after="0"/>
            </w:pPr>
            <w:r/>
            <w:r>
              <w:rPr>
                <w:b/>
                <w:sz w:val="20"/>
              </w:rPr>
              <w:t>Recall of stage 1</w:t>
            </w:r>
          </w:p>
        </w:tc>
        <w:tc>
          <w:tcPr>
            <w:tcW w:type="dxa" w:w="749"/>
          </w:tcPr>
          <w:p>
            <w:pPr>
              <w:spacing w:line="240" w:lineRule="auto" w:after="0"/>
            </w:pPr>
            <w:r/>
            <w:r>
              <w:rPr>
                <w:b/>
                <w:sz w:val="20"/>
              </w:rPr>
              <w:t>Stage-2 time</w:t>
            </w:r>
          </w:p>
        </w:tc>
      </w:tr>
      <w:tr>
        <w:tc>
          <w:tcPr>
            <w:tcW w:type="dxa" w:w="2435"/>
          </w:tcPr>
          <w:p>
            <w:pPr>
              <w:spacing w:line="240" w:lineRule="auto" w:after="0"/>
            </w:pPr>
            <w:r/>
            <w:r>
              <w:rPr>
                <w:sz w:val="20"/>
              </w:rPr>
              <w:t>Proposed, zero-knowledge form (stage 1 alone)</w:t>
            </w:r>
          </w:p>
        </w:tc>
        <w:tc>
          <w:tcPr>
            <w:tcW w:type="dxa" w:w="749"/>
          </w:tcPr>
          <w:p>
            <w:pPr>
              <w:spacing w:line="240" w:lineRule="auto" w:after="0"/>
            </w:pPr>
            <w:r/>
            <w:r>
              <w:rPr>
                <w:sz w:val="20"/>
              </w:rPr>
              <w:t>0.781</w:t>
            </w:r>
          </w:p>
        </w:tc>
        <w:tc>
          <w:tcPr>
            <w:tcW w:type="dxa" w:w="843"/>
          </w:tcPr>
          <w:p>
            <w:pPr>
              <w:spacing w:line="240" w:lineRule="auto" w:after="0"/>
            </w:pPr>
            <w:r/>
            <w:r>
              <w:rPr>
                <w:sz w:val="20"/>
              </w:rPr>
              <w:t>0.828</w:t>
            </w:r>
          </w:p>
        </w:tc>
        <w:tc>
          <w:tcPr>
            <w:tcW w:type="dxa" w:w="843"/>
          </w:tcPr>
          <w:p>
            <w:pPr>
              <w:spacing w:line="240" w:lineRule="auto" w:after="0"/>
            </w:pPr>
            <w:r/>
            <w:r>
              <w:rPr>
                <w:sz w:val="20"/>
              </w:rPr>
              <w:t>0.685</w:t>
            </w:r>
          </w:p>
        </w:tc>
        <w:tc>
          <w:tcPr>
            <w:tcW w:type="dxa" w:w="843"/>
          </w:tcPr>
          <w:p>
            <w:pPr>
              <w:spacing w:line="240" w:lineRule="auto" w:after="0"/>
            </w:pPr>
            <w:r/>
            <w:r>
              <w:rPr>
                <w:sz w:val="20"/>
              </w:rPr>
              <w:t>n/a</w:t>
            </w:r>
          </w:p>
        </w:tc>
        <w:tc>
          <w:tcPr>
            <w:tcW w:type="dxa" w:w="749"/>
          </w:tcPr>
          <w:p>
            <w:pPr>
              <w:spacing w:line="240" w:lineRule="auto" w:after="0"/>
            </w:pPr>
            <w:r/>
            <w:r>
              <w:rPr>
                <w:sz w:val="20"/>
              </w:rPr>
              <w:t>n/a</w:t>
            </w:r>
          </w:p>
        </w:tc>
      </w:tr>
      <w:tr>
        <w:tc>
          <w:tcPr>
            <w:tcW w:type="dxa" w:w="2435"/>
          </w:tcPr>
          <w:p>
            <w:pPr>
              <w:spacing w:line="240" w:lineRule="auto" w:after="0"/>
            </w:pPr>
            <w:r/>
            <w:r>
              <w:rPr>
                <w:sz w:val="20"/>
              </w:rPr>
              <w:t>YNoise, published default</w:t>
            </w:r>
          </w:p>
        </w:tc>
        <w:tc>
          <w:tcPr>
            <w:tcW w:type="dxa" w:w="749"/>
          </w:tcPr>
          <w:p>
            <w:pPr>
              <w:spacing w:line="240" w:lineRule="auto" w:after="0"/>
            </w:pPr>
            <w:r/>
            <w:r>
              <w:rPr>
                <w:sz w:val="20"/>
              </w:rPr>
              <w:t>0.738</w:t>
            </w:r>
          </w:p>
        </w:tc>
        <w:tc>
          <w:tcPr>
            <w:tcW w:type="dxa" w:w="843"/>
          </w:tcPr>
          <w:p>
            <w:pPr>
              <w:spacing w:line="240" w:lineRule="auto" w:after="0"/>
            </w:pPr>
            <w:r/>
            <w:r>
              <w:rPr>
                <w:sz w:val="20"/>
              </w:rPr>
              <w:t>0.732</w:t>
            </w:r>
          </w:p>
        </w:tc>
        <w:tc>
          <w:tcPr>
            <w:tcW w:type="dxa" w:w="843"/>
          </w:tcPr>
          <w:p>
            <w:pPr>
              <w:spacing w:line="240" w:lineRule="auto" w:after="0"/>
            </w:pPr>
            <w:r/>
            <w:r>
              <w:rPr>
                <w:sz w:val="20"/>
              </w:rPr>
              <w:t>0.750</w:t>
            </w:r>
          </w:p>
        </w:tc>
        <w:tc>
          <w:tcPr>
            <w:tcW w:type="dxa" w:w="843"/>
          </w:tcPr>
          <w:p>
            <w:pPr>
              <w:spacing w:line="240" w:lineRule="auto" w:after="0"/>
            </w:pPr>
            <w:r/>
            <w:r>
              <w:rPr>
                <w:sz w:val="20"/>
              </w:rPr>
              <w:t>n/a</w:t>
            </w:r>
          </w:p>
        </w:tc>
        <w:tc>
          <w:tcPr>
            <w:tcW w:type="dxa" w:w="749"/>
          </w:tcPr>
          <w:p>
            <w:pPr>
              <w:spacing w:line="240" w:lineRule="auto" w:after="0"/>
            </w:pPr>
            <w:r/>
            <w:r>
              <w:rPr>
                <w:sz w:val="20"/>
              </w:rPr>
              <w:t>1.00</w:t>
            </w:r>
          </w:p>
        </w:tc>
      </w:tr>
      <w:tr>
        <w:tc>
          <w:tcPr>
            <w:tcW w:type="dxa" w:w="2435"/>
          </w:tcPr>
          <w:p>
            <w:pPr>
              <w:spacing w:line="240" w:lineRule="auto" w:after="0"/>
            </w:pPr>
            <w:r/>
            <w:r>
              <w:rPr>
                <w:sz w:val="20"/>
              </w:rPr>
              <w:t>YNoise, dt = W handed over</w:t>
            </w:r>
          </w:p>
        </w:tc>
        <w:tc>
          <w:tcPr>
            <w:tcW w:type="dxa" w:w="749"/>
          </w:tcPr>
          <w:p>
            <w:pPr>
              <w:spacing w:line="240" w:lineRule="auto" w:after="0"/>
            </w:pPr>
            <w:r/>
            <w:r>
              <w:rPr>
                <w:sz w:val="20"/>
              </w:rPr>
              <w:t>0.841</w:t>
            </w:r>
          </w:p>
        </w:tc>
        <w:tc>
          <w:tcPr>
            <w:tcW w:type="dxa" w:w="843"/>
          </w:tcPr>
          <w:p>
            <w:pPr>
              <w:spacing w:line="240" w:lineRule="auto" w:after="0"/>
            </w:pPr>
            <w:r/>
            <w:r>
              <w:rPr>
                <w:sz w:val="20"/>
              </w:rPr>
              <w:t>0.865</w:t>
            </w:r>
          </w:p>
        </w:tc>
        <w:tc>
          <w:tcPr>
            <w:tcW w:type="dxa" w:w="843"/>
          </w:tcPr>
          <w:p>
            <w:pPr>
              <w:spacing w:line="240" w:lineRule="auto" w:after="0"/>
            </w:pPr>
            <w:r/>
            <w:r>
              <w:rPr>
                <w:sz w:val="20"/>
              </w:rPr>
              <w:t>0.790</w:t>
            </w:r>
          </w:p>
        </w:tc>
        <w:tc>
          <w:tcPr>
            <w:tcW w:type="dxa" w:w="843"/>
          </w:tcPr>
          <w:p>
            <w:pPr>
              <w:spacing w:line="240" w:lineRule="auto" w:after="0"/>
            </w:pPr>
            <w:r/>
            <w:r>
              <w:rPr>
                <w:sz w:val="20"/>
              </w:rPr>
              <w:t>n/a</w:t>
            </w:r>
          </w:p>
        </w:tc>
        <w:tc>
          <w:tcPr>
            <w:tcW w:type="dxa" w:w="749"/>
          </w:tcPr>
          <w:p>
            <w:pPr>
              <w:spacing w:line="240" w:lineRule="auto" w:after="0"/>
            </w:pPr>
            <w:r/>
            <w:r>
              <w:rPr>
                <w:sz w:val="20"/>
              </w:rPr>
              <w:t>1.00</w:t>
            </w:r>
          </w:p>
        </w:tc>
      </w:tr>
      <w:tr>
        <w:tc>
          <w:tcPr>
            <w:tcW w:type="dxa" w:w="2435"/>
          </w:tcPr>
          <w:p>
            <w:pPr>
              <w:spacing w:line="240" w:lineRule="auto" w:after="0"/>
            </w:pPr>
            <w:r/>
            <w:r>
              <w:rPr>
                <w:sz w:val="20"/>
              </w:rPr>
              <w:t>YNoise, label-tuned CV (Table 1)</w:t>
            </w:r>
          </w:p>
        </w:tc>
        <w:tc>
          <w:tcPr>
            <w:tcW w:type="dxa" w:w="749"/>
          </w:tcPr>
          <w:p>
            <w:pPr>
              <w:spacing w:line="240" w:lineRule="auto" w:after="0"/>
            </w:pPr>
            <w:r/>
            <w:r>
              <w:rPr>
                <w:sz w:val="20"/>
              </w:rPr>
              <w:t>0.844</w:t>
            </w:r>
          </w:p>
        </w:tc>
        <w:tc>
          <w:tcPr>
            <w:tcW w:type="dxa" w:w="843"/>
          </w:tcPr>
          <w:p>
            <w:pPr>
              <w:spacing w:line="240" w:lineRule="auto" w:after="0"/>
            </w:pPr>
            <w:r/>
            <w:r>
              <w:rPr>
                <w:sz w:val="20"/>
              </w:rPr>
              <w:t>n/a</w:t>
            </w:r>
          </w:p>
        </w:tc>
        <w:tc>
          <w:tcPr>
            <w:tcW w:type="dxa" w:w="843"/>
          </w:tcPr>
          <w:p>
            <w:pPr>
              <w:spacing w:line="240" w:lineRule="auto" w:after="0"/>
            </w:pPr>
            <w:r/>
            <w:r>
              <w:rPr>
                <w:sz w:val="20"/>
              </w:rPr>
              <w:t>n/a</w:t>
            </w:r>
          </w:p>
        </w:tc>
        <w:tc>
          <w:tcPr>
            <w:tcW w:type="dxa" w:w="843"/>
          </w:tcPr>
          <w:p>
            <w:pPr>
              <w:spacing w:line="240" w:lineRule="auto" w:after="0"/>
            </w:pPr>
            <w:r/>
            <w:r>
              <w:rPr>
                <w:sz w:val="20"/>
              </w:rPr>
              <w:t>n/a</w:t>
            </w:r>
          </w:p>
        </w:tc>
        <w:tc>
          <w:tcPr>
            <w:tcW w:type="dxa" w:w="749"/>
          </w:tcPr>
          <w:p>
            <w:pPr>
              <w:spacing w:line="240" w:lineRule="auto" w:after="0"/>
            </w:pPr>
            <w:r/>
            <w:r>
              <w:rPr>
                <w:sz w:val="20"/>
              </w:rPr>
              <w:t>1.00</w:t>
            </w:r>
          </w:p>
        </w:tc>
      </w:tr>
      <w:tr>
        <w:tc>
          <w:tcPr>
            <w:tcW w:type="dxa" w:w="2435"/>
          </w:tcPr>
          <w:p>
            <w:pPr>
              <w:spacing w:line="240" w:lineRule="auto" w:after="0"/>
            </w:pPr>
            <w:r/>
            <w:r>
              <w:rPr>
                <w:sz w:val="20"/>
              </w:rPr>
              <w:t>Two-stage, f = 0.02, stage 2 dt = W</w:t>
            </w:r>
          </w:p>
        </w:tc>
        <w:tc>
          <w:tcPr>
            <w:tcW w:type="dxa" w:w="749"/>
          </w:tcPr>
          <w:p>
            <w:pPr>
              <w:spacing w:line="240" w:lineRule="auto" w:after="0"/>
            </w:pPr>
            <w:r/>
            <w:r>
              <w:rPr>
                <w:sz w:val="20"/>
              </w:rPr>
              <w:t>0.782</w:t>
            </w:r>
          </w:p>
        </w:tc>
        <w:tc>
          <w:tcPr>
            <w:tcW w:type="dxa" w:w="843"/>
          </w:tcPr>
          <w:p>
            <w:pPr>
              <w:spacing w:line="240" w:lineRule="auto" w:after="0"/>
            </w:pPr>
            <w:r/>
            <w:r>
              <w:rPr>
                <w:sz w:val="20"/>
              </w:rPr>
              <w:t>n/a</w:t>
            </w:r>
          </w:p>
        </w:tc>
        <w:tc>
          <w:tcPr>
            <w:tcW w:type="dxa" w:w="843"/>
          </w:tcPr>
          <w:p>
            <w:pPr>
              <w:spacing w:line="240" w:lineRule="auto" w:after="0"/>
            </w:pPr>
            <w:r/>
            <w:r>
              <w:rPr>
                <w:sz w:val="20"/>
              </w:rPr>
              <w:t>n/a</w:t>
            </w:r>
          </w:p>
        </w:tc>
        <w:tc>
          <w:tcPr>
            <w:tcW w:type="dxa" w:w="843"/>
          </w:tcPr>
          <w:p>
            <w:pPr>
              <w:spacing w:line="240" w:lineRule="auto" w:after="0"/>
            </w:pPr>
            <w:r/>
            <w:r>
              <w:rPr>
                <w:sz w:val="20"/>
              </w:rPr>
              <w:t>0.32</w:t>
            </w:r>
          </w:p>
        </w:tc>
        <w:tc>
          <w:tcPr>
            <w:tcW w:type="dxa" w:w="749"/>
          </w:tcPr>
          <w:p>
            <w:pPr>
              <w:spacing w:line="240" w:lineRule="auto" w:after="0"/>
            </w:pPr>
            <w:r/>
            <w:r>
              <w:rPr>
                <w:sz w:val="20"/>
              </w:rPr>
              <w:t>0.05</w:t>
            </w:r>
          </w:p>
        </w:tc>
      </w:tr>
      <w:tr>
        <w:tc>
          <w:tcPr>
            <w:tcW w:type="dxa" w:w="2435"/>
          </w:tcPr>
          <w:p>
            <w:pPr>
              <w:spacing w:line="240" w:lineRule="auto" w:after="0"/>
            </w:pPr>
            <w:r/>
            <w:r>
              <w:rPr>
                <w:sz w:val="20"/>
              </w:rPr>
              <w:t>Two-stage, f = 0.05, stage 2 dt = W</w:t>
            </w:r>
          </w:p>
        </w:tc>
        <w:tc>
          <w:tcPr>
            <w:tcW w:type="dxa" w:w="749"/>
          </w:tcPr>
          <w:p>
            <w:pPr>
              <w:spacing w:line="240" w:lineRule="auto" w:after="0"/>
            </w:pPr>
            <w:r/>
            <w:r>
              <w:rPr>
                <w:sz w:val="20"/>
              </w:rPr>
              <w:t>0.784</w:t>
            </w:r>
          </w:p>
        </w:tc>
        <w:tc>
          <w:tcPr>
            <w:tcW w:type="dxa" w:w="843"/>
          </w:tcPr>
          <w:p>
            <w:pPr>
              <w:spacing w:line="240" w:lineRule="auto" w:after="0"/>
            </w:pPr>
            <w:r/>
            <w:r>
              <w:rPr>
                <w:sz w:val="20"/>
              </w:rPr>
              <w:t>n/a</w:t>
            </w:r>
          </w:p>
        </w:tc>
        <w:tc>
          <w:tcPr>
            <w:tcW w:type="dxa" w:w="843"/>
          </w:tcPr>
          <w:p>
            <w:pPr>
              <w:spacing w:line="240" w:lineRule="auto" w:after="0"/>
            </w:pPr>
            <w:r/>
            <w:r>
              <w:rPr>
                <w:sz w:val="20"/>
              </w:rPr>
              <w:t>n/a</w:t>
            </w:r>
          </w:p>
        </w:tc>
        <w:tc>
          <w:tcPr>
            <w:tcW w:type="dxa" w:w="843"/>
          </w:tcPr>
          <w:p>
            <w:pPr>
              <w:spacing w:line="240" w:lineRule="auto" w:after="0"/>
            </w:pPr>
            <w:r/>
            <w:r>
              <w:rPr>
                <w:sz w:val="20"/>
              </w:rPr>
              <w:t>0.45</w:t>
            </w:r>
          </w:p>
        </w:tc>
        <w:tc>
          <w:tcPr>
            <w:tcW w:type="dxa" w:w="749"/>
          </w:tcPr>
          <w:p>
            <w:pPr>
              <w:spacing w:line="240" w:lineRule="auto" w:after="0"/>
            </w:pPr>
            <w:r/>
            <w:r>
              <w:rPr>
                <w:sz w:val="20"/>
              </w:rPr>
              <w:t>0.11</w:t>
            </w:r>
          </w:p>
        </w:tc>
      </w:tr>
      <w:tr>
        <w:tc>
          <w:tcPr>
            <w:tcW w:type="dxa" w:w="2435"/>
          </w:tcPr>
          <w:p>
            <w:pPr>
              <w:spacing w:line="240" w:lineRule="auto" w:after="0"/>
            </w:pPr>
            <w:r/>
            <w:r>
              <w:rPr>
                <w:sz w:val="20"/>
              </w:rPr>
              <w:t>Two-stage, f = 0.1, stage 2 dt = W</w:t>
            </w:r>
          </w:p>
        </w:tc>
        <w:tc>
          <w:tcPr>
            <w:tcW w:type="dxa" w:w="749"/>
          </w:tcPr>
          <w:p>
            <w:pPr>
              <w:spacing w:line="240" w:lineRule="auto" w:after="0"/>
            </w:pPr>
            <w:r/>
            <w:r>
              <w:rPr>
                <w:sz w:val="20"/>
              </w:rPr>
              <w:t>0.787</w:t>
            </w:r>
          </w:p>
        </w:tc>
        <w:tc>
          <w:tcPr>
            <w:tcW w:type="dxa" w:w="843"/>
          </w:tcPr>
          <w:p>
            <w:pPr>
              <w:spacing w:line="240" w:lineRule="auto" w:after="0"/>
            </w:pPr>
            <w:r/>
            <w:r>
              <w:rPr>
                <w:sz w:val="20"/>
              </w:rPr>
              <w:t>n/a</w:t>
            </w:r>
          </w:p>
        </w:tc>
        <w:tc>
          <w:tcPr>
            <w:tcW w:type="dxa" w:w="843"/>
          </w:tcPr>
          <w:p>
            <w:pPr>
              <w:spacing w:line="240" w:lineRule="auto" w:after="0"/>
            </w:pPr>
            <w:r/>
            <w:r>
              <w:rPr>
                <w:sz w:val="20"/>
              </w:rPr>
              <w:t>n/a</w:t>
            </w:r>
          </w:p>
        </w:tc>
        <w:tc>
          <w:tcPr>
            <w:tcW w:type="dxa" w:w="843"/>
          </w:tcPr>
          <w:p>
            <w:pPr>
              <w:spacing w:line="240" w:lineRule="auto" w:after="0"/>
            </w:pPr>
            <w:r/>
            <w:r>
              <w:rPr>
                <w:sz w:val="20"/>
              </w:rPr>
              <w:t>0.55</w:t>
            </w:r>
          </w:p>
        </w:tc>
        <w:tc>
          <w:tcPr>
            <w:tcW w:type="dxa" w:w="749"/>
          </w:tcPr>
          <w:p>
            <w:pPr>
              <w:spacing w:line="240" w:lineRule="auto" w:after="0"/>
            </w:pPr>
            <w:r/>
            <w:r>
              <w:rPr>
                <w:sz w:val="20"/>
              </w:rPr>
              <w:t>0.22</w:t>
            </w:r>
          </w:p>
        </w:tc>
      </w:tr>
      <w:tr>
        <w:tc>
          <w:tcPr>
            <w:tcW w:type="dxa" w:w="2435"/>
          </w:tcPr>
          <w:p>
            <w:pPr>
              <w:spacing w:line="240" w:lineRule="auto" w:after="0"/>
            </w:pPr>
            <w:r/>
            <w:r>
              <w:rPr>
                <w:sz w:val="20"/>
              </w:rPr>
              <w:t>Two-stage, f = 0.2, stage 2 dt = W</w:t>
            </w:r>
          </w:p>
        </w:tc>
        <w:tc>
          <w:tcPr>
            <w:tcW w:type="dxa" w:w="749"/>
          </w:tcPr>
          <w:p>
            <w:pPr>
              <w:spacing w:line="240" w:lineRule="auto" w:after="0"/>
            </w:pPr>
            <w:r/>
            <w:r>
              <w:rPr>
                <w:sz w:val="20"/>
              </w:rPr>
              <w:t>0.794</w:t>
            </w:r>
          </w:p>
        </w:tc>
        <w:tc>
          <w:tcPr>
            <w:tcW w:type="dxa" w:w="843"/>
          </w:tcPr>
          <w:p>
            <w:pPr>
              <w:spacing w:line="240" w:lineRule="auto" w:after="0"/>
            </w:pPr>
            <w:r/>
            <w:r>
              <w:rPr>
                <w:sz w:val="20"/>
              </w:rPr>
              <w:t>n/a</w:t>
            </w:r>
          </w:p>
        </w:tc>
        <w:tc>
          <w:tcPr>
            <w:tcW w:type="dxa" w:w="843"/>
          </w:tcPr>
          <w:p>
            <w:pPr>
              <w:spacing w:line="240" w:lineRule="auto" w:after="0"/>
            </w:pPr>
            <w:r/>
            <w:r>
              <w:rPr>
                <w:sz w:val="20"/>
              </w:rPr>
              <w:t>n/a</w:t>
            </w:r>
          </w:p>
        </w:tc>
        <w:tc>
          <w:tcPr>
            <w:tcW w:type="dxa" w:w="843"/>
          </w:tcPr>
          <w:p>
            <w:pPr>
              <w:spacing w:line="240" w:lineRule="auto" w:after="0"/>
            </w:pPr>
            <w:r/>
            <w:r>
              <w:rPr>
                <w:sz w:val="20"/>
              </w:rPr>
              <w:t>0.66</w:t>
            </w:r>
          </w:p>
        </w:tc>
        <w:tc>
          <w:tcPr>
            <w:tcW w:type="dxa" w:w="749"/>
          </w:tcPr>
          <w:p>
            <w:pPr>
              <w:spacing w:line="240" w:lineRule="auto" w:after="0"/>
            </w:pPr>
            <w:r/>
            <w:r>
              <w:rPr>
                <w:sz w:val="20"/>
              </w:rPr>
              <w:t>0.45</w:t>
            </w:r>
          </w:p>
        </w:tc>
      </w:tr>
      <w:tr>
        <w:tc>
          <w:tcPr>
            <w:tcW w:type="dxa" w:w="2435"/>
          </w:tcPr>
          <w:p>
            <w:pPr>
              <w:spacing w:line="240" w:lineRule="auto" w:after="0"/>
            </w:pPr>
            <w:r/>
            <w:r>
              <w:rPr>
                <w:sz w:val="20"/>
              </w:rPr>
              <w:t>Two-stage, f = 0.5, stage 2 dt = W</w:t>
            </w:r>
          </w:p>
        </w:tc>
        <w:tc>
          <w:tcPr>
            <w:tcW w:type="dxa" w:w="749"/>
          </w:tcPr>
          <w:p>
            <w:pPr>
              <w:spacing w:line="240" w:lineRule="auto" w:after="0"/>
            </w:pPr>
            <w:r/>
            <w:r>
              <w:rPr>
                <w:sz w:val="20"/>
              </w:rPr>
              <w:t>0.810</w:t>
            </w:r>
          </w:p>
        </w:tc>
        <w:tc>
          <w:tcPr>
            <w:tcW w:type="dxa" w:w="843"/>
          </w:tcPr>
          <w:p>
            <w:pPr>
              <w:spacing w:line="240" w:lineRule="auto" w:after="0"/>
            </w:pPr>
            <w:r/>
            <w:r>
              <w:rPr>
                <w:sz w:val="20"/>
              </w:rPr>
              <w:t>n/a</w:t>
            </w:r>
          </w:p>
        </w:tc>
        <w:tc>
          <w:tcPr>
            <w:tcW w:type="dxa" w:w="843"/>
          </w:tcPr>
          <w:p>
            <w:pPr>
              <w:spacing w:line="240" w:lineRule="auto" w:after="0"/>
            </w:pPr>
            <w:r/>
            <w:r>
              <w:rPr>
                <w:sz w:val="20"/>
              </w:rPr>
              <w:t>n/a</w:t>
            </w:r>
          </w:p>
        </w:tc>
        <w:tc>
          <w:tcPr>
            <w:tcW w:type="dxa" w:w="843"/>
          </w:tcPr>
          <w:p>
            <w:pPr>
              <w:spacing w:line="240" w:lineRule="auto" w:after="0"/>
            </w:pPr>
            <w:r/>
            <w:r>
              <w:rPr>
                <w:sz w:val="20"/>
              </w:rPr>
              <w:t>0.81</w:t>
            </w:r>
          </w:p>
        </w:tc>
        <w:tc>
          <w:tcPr>
            <w:tcW w:type="dxa" w:w="749"/>
          </w:tcPr>
          <w:p>
            <w:pPr>
              <w:spacing w:line="240" w:lineRule="auto" w:after="0"/>
            </w:pPr>
            <w:r/>
            <w:r>
              <w:rPr>
                <w:sz w:val="20"/>
              </w:rPr>
              <w:t>1.20</w:t>
            </w:r>
          </w:p>
        </w:tc>
      </w:tr>
    </w:tbl>
    <w:p>
      <w:pPr>
        <w:spacing w:after="120"/>
      </w:pPr>
    </w:p>
    <w:p>
      <w:pPr>
        <w:keepNext/>
        <w:spacing w:before="240"/>
        <w:jc w:val="center"/>
      </w:pPr>
      <w:r>
        <w:drawing>
          <wp:inline xmlns:a="http://schemas.openxmlformats.org/drawingml/2006/main" xmlns:pic="http://schemas.openxmlformats.org/drawingml/2006/picture">
            <wp:extent cx="4103999" cy="1722083"/>
            <wp:docPr id="6" name="Picture 6"/>
            <wp:cNvGraphicFramePr>
              <a:graphicFrameLocks noChangeAspect="1"/>
            </wp:cNvGraphicFramePr>
            <a:graphic>
              <a:graphicData uri="http://schemas.openxmlformats.org/drawingml/2006/picture">
                <pic:pic>
                  <pic:nvPicPr>
                    <pic:cNvPr id="0" name="fig7_hybrid.png"/>
                    <pic:cNvPicPr/>
                  </pic:nvPicPr>
                  <pic:blipFill>
                    <a:blip r:embed="rId15"/>
                    <a:stretch>
                      <a:fillRect/>
                    </a:stretch>
                  </pic:blipFill>
                  <pic:spPr>
                    <a:xfrm>
                      <a:off x="0" y="0"/>
                      <a:ext cx="4103999" cy="1722083"/>
                    </a:xfrm>
                    <a:prstGeom prst="rect"/>
                  </pic:spPr>
                </pic:pic>
              </a:graphicData>
            </a:graphic>
          </wp:inline>
        </w:drawing>
      </w:r>
    </w:p>
    <w:p>
      <w:pPr>
        <w:spacing w:before="120" w:after="280" w:line="240" w:lineRule="auto"/>
      </w:pPr>
      <w:r>
        <w:rPr>
          <w:b w:val="0"/>
          <w:i w:val="0"/>
          <w:sz w:val="16"/>
        </w:rPr>
        <w:t>Fig. 6. Parameter hand-over and two-stage cascade on EBSSA. (a) Mean AUC of the zero-knowledge proposal, of YNoise at its published default and of YNoise with dt set to the rate-adaptive window W handed over from the proposal, pooled and per sensor model; dotted line: YNoise with label-tuned cross-validation (Table 1). (b) Mean AUC of the two-stage score against the fraction of the stream passed by stage 1, with stage 2 parameterised by the hand-over, the published default and a pseudo-label choice; dashed line: stage 1 alone; black squares (right axis): median stage-2 time relative to YNoise on the whole stream.</w:t>
      </w:r>
    </w:p>
    <w:p>
      <w:pPr>
        <w:spacing w:after="120" w:before="0"/>
      </w:pPr>
      <w:r>
        <w:rPr>
          <w:b w:val="0"/>
          <w:i w:val="0"/>
        </w:rPr>
        <w:t>The cascade (Fig. 6(b)) improved on stage 1 alone by a margin that grew with the passed fraction: from 0.781 to 0.787 at f = 0.1 (p = 9.8e-10) and 0.810 at f = 0.5 (p = 5.9e-07). With the published default in stage 2 the cascade did not improve on stage 1 (p = 0.53 at f = 0.1), and the pseudo-label choice tracked the hand-over (0.786 at f = 0.1), so the improvement comes from the handed-over time constant rather than from the second density count as such. Stage 1 passed 0.55 of the object events at f = 0.1 and 0.81 at f = 0.5, which bounds the recall of the cascade. Its quantile operating point remained calibrated (median false-positive rate 0.0039 at a requested 0.01, f = 0.1). The stage-2 workload fell in proportion to f (0.22 of the full-stream YNoise time at f = 0.1); the pseudo-label search cost 117 times the full-stream time. In this implementation stage 1 itself (48 ms per recording, median) costs more than YNoise on the whole stream (7 ms), so the cascade lowers total cost only when the confirmation stage is expensive, such as a network, or when the screened stream must leave the sensor.</w:t>
      </w:r>
    </w:p>
    <w:p>
      <w:pPr>
        <w:spacing w:after="120" w:before="0"/>
      </w:pPr>
      <w:r>
        <w:rPr>
          <w:b w:val="0"/>
          <w:i w:val="0"/>
        </w:rPr>
        <w:t>Supplementary Fig. S2 shows one recording per sensor model after each stage at a requested false-alarm rate of 0.01; the hand-over and the cascade passed more of the object events than the proposal alone or YNoise at its default, and the Fano-factor score, whose per-pixel ratio takes few distinct values, could not be set to the budget by a quantile (smallest passable false-positive rate 0.096 and 0.131).</w:t>
      </w:r>
    </w:p>
    <w:p>
      <w:pPr>
        <w:keepNext/>
        <w:spacing w:before="160" w:after="80"/>
      </w:pPr>
      <w:r>
        <w:rPr>
          <w:rFonts w:ascii="Times New Roman" w:hAnsi="Times New Roman"/>
          <w:i/>
          <w:sz w:val="20"/>
        </w:rPr>
        <w:t>5.8. Generalisation to a third sensor: DND21</w:t>
      </w:r>
    </w:p>
    <w:p>
      <w:pPr>
        <w:spacing w:after="120" w:before="0"/>
      </w:pPr>
      <w:r>
        <w:rPr>
          <w:b w:val="0"/>
          <w:i w:val="0"/>
        </w:rPr>
        <w:t>Table 4 and Fig. 7 report the DND21 evaluation on 80 mixtures from 4 scenes. The result is negative for the detector as a ranker and mixed for the hand-over, and we report it as such. With no DND21 labels and no tuning, the rate-adaptive proposal at its fixed deployment configuration reached 0.755 ± 0.140, -0.132 (95% CI [-0.165, -0.098]) from YNoise at its published default, below it on 15 of 16 signal segments and on 3 of 4 sources; with the configuration selected on EBSSA it reached 0.720 (+0.035, 95% CI [-0.008, +0.078]), and with nested leave-one-scene-out selection on DND21 itself 0.740 (fixed window 0.613). The label-tuned comparators again ranked above it: YNoise 0.904, event bilateral 0.883, PFD-A approximation 0.882, DWF 0.864 (mean paired difference of the nested fixed-window proposal minus YNoise -0.291, Holm-adjusted p &lt; 0.001), and the supervised networks trained on the other scenes reached 0.897 (MLPF-style) and 0.913 (EDnCNN-style); the latter was the best method overall. Unlike on EBSSA, the published default of YNoise was already close to its nested-tuned value (0.888 against 0.904), so the hand-over had little to recover: YNoise with dt = W reached 0.885, -0.003 relative to the default (95% CI [-0.024, +0.020]; Wilcoxon p = 0.034 over mixtures, but p = 0.71 over the 16 signal segments, with the hand-over ahead on 6 of them), i.e. no difference that survives the dependence between mixtures (Supplementary Table S6 gives the segment- and source-level check for every row of Table 4), and 97.9% of the nested label-tuned value. The direction of the hand-over depended on the scene: hotel_bar -0.008; driving -0.050; dots5 +0.070; accel_dot +0.028 (handed-over minus default, by signal source; descriptive, 10-25 mixtures per scene, not tested), i.e. it helped on the sparse synthetic targets and cost accuracy on the dense natural scenes. The two-stage cascade reached 0.755 at f = 0.1, 0.759 at f = 0.2, no better than the screening stage alone, consistent with the weak screen it inherits here; the best label-free configuration on DND21 was therefore YNoise at its published default (0.888). The handed-over window had a median of 5 ms (range 2-36 ms) against the 30 ms default. By noise condition the untuned proposal fell from 0.792 (light native) to 0.698 (dark 5 Hz), while the hand-over held between 0.853 and 0.909 (default 0.839-0.918); by scene, the untuned proposal ranged from 0.692 (dots5) to 0.828 (hotel_bar). In 5 of the 80 mixtures (all from accel_dot) the untuned proposal scored below chance (AUC &lt; 0.5): the simulated target dwells on the same pixels for many events, so those pixels acquire a high estimated background rate and their events are scored as expected rather than as anomalous, the failure mode implied by the per-pixel Poisson null (Section 3.2), which assumes a stationary background and a transient signal at each pixel. Two conclusions carry over from EBSSA and one does not: the untuned proposal is a weaker ranker than the tuned density filters; a window stated as an expected count still transfers (0.720 with the EBSSA-selected k against 0.740 with nested selection, whereas the EBSSA-selected fixed window in milliseconds gave 0.536); but the gain of the hand-over over the published default did not reappear on average, only on the sparse scenes.</w:t>
      </w:r>
    </w:p>
    <w:p>
      <w:pPr>
        <w:sectPr>
          <w:pgSz w:w="11906" w:h="16838"/>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4. DND21 (DAVIS346, third sensor): mean ± SD ROC-AUC over 80 mixtures with exact origin labels. ΔAUC and p (Holm): for tuned and supervised rows, the paired difference of the nested-CV fixed-window proposal minus the method with Holm adjustment over mixtures; for label-free rows, the paired difference of the fixed-deployment proposal minus the method. 95% CI: cluster bootstrap over signal segments (16 clusters). p (segment): unadjusted paired Wilcoxon over the 16 segments (sensitivity analysis). Sources: number of the 4 signal sources on which the proposal has the higher mean AUC (descriptive). Nested CV: leave-one-scene-out. EBSSA-selected: configuration chosen on EBSSA and applied unchanged.</w:t>
      </w:r>
    </w:p>
    <w:tbl>
      <w:tblPr>
        <w:tblStyle w:val="TableGrid"/>
        <w:tblW w:type="auto" w:w="0"/>
        <w:tblLayout w:type="fixed"/>
        <w:tblLook w:firstColumn="1" w:firstRow="1" w:lastColumn="0" w:lastRow="0" w:noHBand="0" w:noVBand="1" w:val="04A0"/>
      </w:tblPr>
      <w:tblGrid>
        <w:gridCol w:w="4091"/>
        <w:gridCol w:w="1680"/>
        <w:gridCol w:w="877"/>
        <w:gridCol w:w="1899"/>
        <w:gridCol w:w="877"/>
        <w:gridCol w:w="1096"/>
        <w:gridCol w:w="877"/>
      </w:tblGrid>
      <w:tr>
        <w:tc>
          <w:tcPr>
            <w:tcW w:type="dxa" w:w="4091"/>
          </w:tcPr>
          <w:p>
            <w:pPr>
              <w:spacing w:line="240" w:lineRule="auto" w:after="0"/>
            </w:pPr>
            <w:r/>
            <w:r>
              <w:rPr>
                <w:b/>
                <w:sz w:val="20"/>
              </w:rPr>
              <w:t>Configuration</w:t>
            </w:r>
          </w:p>
        </w:tc>
        <w:tc>
          <w:tcPr>
            <w:tcW w:type="dxa" w:w="1680"/>
          </w:tcPr>
          <w:p>
            <w:pPr>
              <w:spacing w:line="240" w:lineRule="auto" w:after="0"/>
            </w:pPr>
            <w:r/>
            <w:r>
              <w:rPr>
                <w:b/>
                <w:sz w:val="20"/>
              </w:rPr>
              <w:t>AUC (mean ± SD)</w:t>
            </w:r>
          </w:p>
        </w:tc>
        <w:tc>
          <w:tcPr>
            <w:tcW w:type="dxa" w:w="877"/>
          </w:tcPr>
          <w:p>
            <w:pPr>
              <w:spacing w:line="240" w:lineRule="auto" w:after="0"/>
            </w:pPr>
            <w:r/>
            <w:r>
              <w:rPr>
                <w:b/>
                <w:sz w:val="20"/>
              </w:rPr>
              <w:t>ΔAUC</w:t>
            </w:r>
          </w:p>
        </w:tc>
        <w:tc>
          <w:tcPr>
            <w:tcW w:type="dxa" w:w="1899"/>
          </w:tcPr>
          <w:p>
            <w:pPr>
              <w:spacing w:line="240" w:lineRule="auto" w:after="0"/>
            </w:pPr>
            <w:r/>
            <w:r>
              <w:rPr>
                <w:b/>
                <w:sz w:val="20"/>
              </w:rPr>
              <w:t>95% CI</w:t>
            </w:r>
          </w:p>
        </w:tc>
        <w:tc>
          <w:tcPr>
            <w:tcW w:type="dxa" w:w="877"/>
          </w:tcPr>
          <w:p>
            <w:pPr>
              <w:spacing w:line="240" w:lineRule="auto" w:after="0"/>
            </w:pPr>
            <w:r/>
            <w:r>
              <w:rPr>
                <w:b/>
                <w:sz w:val="20"/>
              </w:rPr>
              <w:t>p (Holm)</w:t>
            </w:r>
          </w:p>
        </w:tc>
        <w:tc>
          <w:tcPr>
            <w:tcW w:type="dxa" w:w="1096"/>
          </w:tcPr>
          <w:p>
            <w:pPr>
              <w:spacing w:line="240" w:lineRule="auto" w:after="0"/>
            </w:pPr>
            <w:r/>
            <w:r>
              <w:rPr>
                <w:b/>
                <w:sz w:val="20"/>
              </w:rPr>
              <w:t>p (segment)</w:t>
            </w:r>
          </w:p>
        </w:tc>
        <w:tc>
          <w:tcPr>
            <w:tcW w:type="dxa" w:w="877"/>
          </w:tcPr>
          <w:p>
            <w:pPr>
              <w:spacing w:line="240" w:lineRule="auto" w:after="0"/>
            </w:pPr>
            <w:r/>
            <w:r>
              <w:rPr>
                <w:b/>
                <w:sz w:val="20"/>
              </w:rPr>
              <w:t>Sources</w:t>
            </w:r>
          </w:p>
        </w:tc>
      </w:tr>
      <w:tr>
        <w:tc>
          <w:tcPr>
            <w:tcW w:type="dxa" w:w="4091"/>
          </w:tcPr>
          <w:p>
            <w:pPr>
              <w:spacing w:line="240" w:lineRule="auto" w:after="0"/>
            </w:pPr>
            <w:r/>
            <w:r>
              <w:rPr>
                <w:sz w:val="20"/>
              </w:rPr>
              <w:t>Proposed, rate-adaptive, fixed deployment (no tuning)</w:t>
            </w:r>
          </w:p>
        </w:tc>
        <w:tc>
          <w:tcPr>
            <w:tcW w:type="dxa" w:w="1680"/>
          </w:tcPr>
          <w:p>
            <w:pPr>
              <w:spacing w:line="240" w:lineRule="auto" w:after="0"/>
            </w:pPr>
            <w:r/>
            <w:r>
              <w:rPr>
                <w:sz w:val="20"/>
              </w:rPr>
              <w:t>0.755 ± 0.140</w:t>
            </w:r>
          </w:p>
        </w:tc>
        <w:tc>
          <w:tcPr>
            <w:tcW w:type="dxa" w:w="877"/>
          </w:tcPr>
          <w:p>
            <w:pPr>
              <w:spacing w:line="240" w:lineRule="auto" w:after="0"/>
            </w:pPr>
            <w:r/>
            <w:r>
              <w:rPr>
                <w:sz w:val="20"/>
              </w:rPr>
              <w:t>-</w:t>
            </w:r>
          </w:p>
        </w:tc>
        <w:tc>
          <w:tcPr>
            <w:tcW w:type="dxa" w:w="1899"/>
          </w:tcPr>
          <w:p>
            <w:pPr>
              <w:spacing w:line="240" w:lineRule="auto" w:after="0"/>
            </w:pPr>
            <w:r/>
            <w:r>
              <w:rPr>
                <w:sz w:val="20"/>
              </w:rPr>
              <w:t>-</w:t>
            </w:r>
          </w:p>
        </w:tc>
        <w:tc>
          <w:tcPr>
            <w:tcW w:type="dxa" w:w="877"/>
          </w:tcPr>
          <w:p>
            <w:pPr>
              <w:spacing w:line="240" w:lineRule="auto" w:after="0"/>
            </w:pPr>
            <w:r/>
            <w:r>
              <w:rPr>
                <w:sz w:val="20"/>
              </w:rPr>
              <w:t>-</w:t>
            </w:r>
          </w:p>
        </w:tc>
        <w:tc>
          <w:tcPr>
            <w:tcW w:type="dxa" w:w="1096"/>
          </w:tcPr>
          <w:p>
            <w:pPr>
              <w:spacing w:line="240" w:lineRule="auto" w:after="0"/>
            </w:pPr>
            <w:r/>
            <w:r>
              <w:rPr>
                <w:sz w:val="20"/>
              </w:rPr>
              <w:t>-</w:t>
            </w:r>
          </w:p>
        </w:tc>
        <w:tc>
          <w:tcPr>
            <w:tcW w:type="dxa" w:w="877"/>
          </w:tcPr>
          <w:p>
            <w:pPr>
              <w:spacing w:line="240" w:lineRule="auto" w:after="0"/>
            </w:pPr>
            <w:r/>
            <w:r>
              <w:rPr>
                <w:sz w:val="20"/>
              </w:rPr>
              <w:t>-</w:t>
            </w:r>
          </w:p>
        </w:tc>
      </w:tr>
      <w:tr>
        <w:tc>
          <w:tcPr>
            <w:tcW w:type="dxa" w:w="4091"/>
          </w:tcPr>
          <w:p>
            <w:pPr>
              <w:spacing w:line="240" w:lineRule="auto" w:after="0"/>
            </w:pPr>
            <w:r/>
            <w:r>
              <w:rPr>
                <w:sz w:val="20"/>
              </w:rPr>
              <w:t>Proposed, rate-adaptive, EBSSA-selected k</w:t>
            </w:r>
          </w:p>
        </w:tc>
        <w:tc>
          <w:tcPr>
            <w:tcW w:type="dxa" w:w="1680"/>
          </w:tcPr>
          <w:p>
            <w:pPr>
              <w:spacing w:line="240" w:lineRule="auto" w:after="0"/>
            </w:pPr>
            <w:r/>
            <w:r>
              <w:rPr>
                <w:sz w:val="20"/>
              </w:rPr>
              <w:t>0.720 ± 0.149</w:t>
            </w:r>
          </w:p>
        </w:tc>
        <w:tc>
          <w:tcPr>
            <w:tcW w:type="dxa" w:w="877"/>
          </w:tcPr>
          <w:p>
            <w:pPr>
              <w:spacing w:line="240" w:lineRule="auto" w:after="0"/>
            </w:pPr>
            <w:r/>
            <w:r>
              <w:rPr>
                <w:sz w:val="20"/>
              </w:rPr>
              <w:t>+0.035</w:t>
            </w:r>
          </w:p>
        </w:tc>
        <w:tc>
          <w:tcPr>
            <w:tcW w:type="dxa" w:w="1899"/>
          </w:tcPr>
          <w:p>
            <w:pPr>
              <w:spacing w:line="240" w:lineRule="auto" w:after="0"/>
            </w:pPr>
            <w:r/>
            <w:r>
              <w:rPr>
                <w:sz w:val="20"/>
              </w:rPr>
              <w:t>[-0.008, +0.078]</w:t>
            </w:r>
          </w:p>
        </w:tc>
        <w:tc>
          <w:tcPr>
            <w:tcW w:type="dxa" w:w="877"/>
          </w:tcPr>
          <w:p>
            <w:pPr>
              <w:spacing w:line="240" w:lineRule="auto" w:after="0"/>
            </w:pPr>
            <w:r/>
            <w:r>
              <w:rPr>
                <w:sz w:val="20"/>
              </w:rPr>
              <w:t>&lt;0.001</w:t>
            </w:r>
          </w:p>
        </w:tc>
        <w:tc>
          <w:tcPr>
            <w:tcW w:type="dxa" w:w="1096"/>
          </w:tcPr>
          <w:p>
            <w:pPr>
              <w:spacing w:line="240" w:lineRule="auto" w:after="0"/>
            </w:pPr>
            <w:r/>
            <w:r>
              <w:rPr>
                <w:sz w:val="20"/>
              </w:rPr>
              <w:t>= 0.144</w:t>
            </w:r>
          </w:p>
        </w:tc>
        <w:tc>
          <w:tcPr>
            <w:tcW w:type="dxa" w:w="877"/>
          </w:tcPr>
          <w:p>
            <w:pPr>
              <w:spacing w:line="240" w:lineRule="auto" w:after="0"/>
            </w:pPr>
            <w:r/>
            <w:r>
              <w:rPr>
                <w:sz w:val="20"/>
              </w:rPr>
              <w:t>3/4</w:t>
            </w:r>
          </w:p>
        </w:tc>
      </w:tr>
      <w:tr>
        <w:tc>
          <w:tcPr>
            <w:tcW w:type="dxa" w:w="4091"/>
          </w:tcPr>
          <w:p>
            <w:pPr>
              <w:spacing w:line="240" w:lineRule="auto" w:after="0"/>
            </w:pPr>
            <w:r/>
            <w:r>
              <w:rPr>
                <w:sz w:val="20"/>
              </w:rPr>
              <w:t>Proposed, rate-adaptive, nested CV on DND21</w:t>
            </w:r>
          </w:p>
        </w:tc>
        <w:tc>
          <w:tcPr>
            <w:tcW w:type="dxa" w:w="1680"/>
          </w:tcPr>
          <w:p>
            <w:pPr>
              <w:spacing w:line="240" w:lineRule="auto" w:after="0"/>
            </w:pPr>
            <w:r/>
            <w:r>
              <w:rPr>
                <w:sz w:val="20"/>
              </w:rPr>
              <w:t>0.740 ± 0.178</w:t>
            </w:r>
          </w:p>
        </w:tc>
        <w:tc>
          <w:tcPr>
            <w:tcW w:type="dxa" w:w="877"/>
          </w:tcPr>
          <w:p>
            <w:pPr>
              <w:spacing w:line="240" w:lineRule="auto" w:after="0"/>
            </w:pPr>
            <w:r/>
            <w:r>
              <w:rPr>
                <w:sz w:val="20"/>
              </w:rPr>
              <w:t>-0.127</w:t>
            </w:r>
          </w:p>
        </w:tc>
        <w:tc>
          <w:tcPr>
            <w:tcW w:type="dxa" w:w="1899"/>
          </w:tcPr>
          <w:p>
            <w:pPr>
              <w:spacing w:line="240" w:lineRule="auto" w:after="0"/>
            </w:pPr>
            <w:r/>
            <w:r>
              <w:rPr>
                <w:sz w:val="20"/>
              </w:rPr>
              <w:t>[-0.178, -0.062]</w:t>
            </w:r>
          </w:p>
        </w:tc>
        <w:tc>
          <w:tcPr>
            <w:tcW w:type="dxa" w:w="877"/>
          </w:tcPr>
          <w:p>
            <w:pPr>
              <w:spacing w:line="240" w:lineRule="auto" w:after="0"/>
            </w:pPr>
            <w:r/>
            <w:r>
              <w:rPr>
                <w:sz w:val="20"/>
              </w:rPr>
              <w:t>&lt;0.001</w:t>
            </w:r>
          </w:p>
        </w:tc>
        <w:tc>
          <w:tcPr>
            <w:tcW w:type="dxa" w:w="1096"/>
          </w:tcPr>
          <w:p>
            <w:pPr>
              <w:spacing w:line="240" w:lineRule="auto" w:after="0"/>
            </w:pPr>
            <w:r/>
            <w:r>
              <w:rPr>
                <w:sz w:val="20"/>
              </w:rPr>
              <w:t>= 0.003</w:t>
            </w:r>
          </w:p>
        </w:tc>
        <w:tc>
          <w:tcPr>
            <w:tcW w:type="dxa" w:w="877"/>
          </w:tcPr>
          <w:p>
            <w:pPr>
              <w:spacing w:line="240" w:lineRule="auto" w:after="0"/>
            </w:pPr>
            <w:r/>
            <w:r>
              <w:rPr>
                <w:sz w:val="20"/>
              </w:rPr>
              <w:t>1/4</w:t>
            </w:r>
          </w:p>
        </w:tc>
      </w:tr>
      <w:tr>
        <w:tc>
          <w:tcPr>
            <w:tcW w:type="dxa" w:w="4091"/>
          </w:tcPr>
          <w:p>
            <w:pPr>
              <w:spacing w:line="240" w:lineRule="auto" w:after="0"/>
            </w:pPr>
            <w:r/>
            <w:r>
              <w:rPr>
                <w:sz w:val="20"/>
              </w:rPr>
              <w:t>Proposed, fixed window, nested CV on DND21</w:t>
            </w:r>
          </w:p>
        </w:tc>
        <w:tc>
          <w:tcPr>
            <w:tcW w:type="dxa" w:w="1680"/>
          </w:tcPr>
          <w:p>
            <w:pPr>
              <w:spacing w:line="240" w:lineRule="auto" w:after="0"/>
            </w:pPr>
            <w:r/>
            <w:r>
              <w:rPr>
                <w:sz w:val="20"/>
              </w:rPr>
              <w:t>0.613 ± 0.150</w:t>
            </w:r>
          </w:p>
        </w:tc>
        <w:tc>
          <w:tcPr>
            <w:tcW w:type="dxa" w:w="877"/>
          </w:tcPr>
          <w:p>
            <w:pPr>
              <w:spacing w:line="240" w:lineRule="auto" w:after="0"/>
            </w:pPr>
            <w:r/>
            <w:r>
              <w:rPr>
                <w:sz w:val="20"/>
              </w:rPr>
              <w:t>-</w:t>
            </w:r>
          </w:p>
        </w:tc>
        <w:tc>
          <w:tcPr>
            <w:tcW w:type="dxa" w:w="1899"/>
          </w:tcPr>
          <w:p>
            <w:pPr>
              <w:spacing w:line="240" w:lineRule="auto" w:after="0"/>
            </w:pPr>
            <w:r/>
            <w:r>
              <w:rPr>
                <w:sz w:val="20"/>
              </w:rPr>
              <w:t>-</w:t>
            </w:r>
          </w:p>
        </w:tc>
        <w:tc>
          <w:tcPr>
            <w:tcW w:type="dxa" w:w="877"/>
          </w:tcPr>
          <w:p>
            <w:pPr>
              <w:spacing w:line="240" w:lineRule="auto" w:after="0"/>
            </w:pPr>
            <w:r/>
            <w:r>
              <w:rPr>
                <w:sz w:val="20"/>
              </w:rPr>
              <w:t>-</w:t>
            </w:r>
          </w:p>
        </w:tc>
        <w:tc>
          <w:tcPr>
            <w:tcW w:type="dxa" w:w="1096"/>
          </w:tcPr>
          <w:p>
            <w:pPr>
              <w:spacing w:line="240" w:lineRule="auto" w:after="0"/>
            </w:pPr>
            <w:r/>
            <w:r>
              <w:rPr>
                <w:sz w:val="20"/>
              </w:rPr>
              <w:t>-</w:t>
            </w:r>
          </w:p>
        </w:tc>
        <w:tc>
          <w:tcPr>
            <w:tcW w:type="dxa" w:w="877"/>
          </w:tcPr>
          <w:p>
            <w:pPr>
              <w:spacing w:line="240" w:lineRule="auto" w:after="0"/>
            </w:pPr>
            <w:r/>
            <w:r>
              <w:rPr>
                <w:sz w:val="20"/>
              </w:rPr>
              <w:t>-</w:t>
            </w:r>
          </w:p>
        </w:tc>
      </w:tr>
      <w:tr>
        <w:tc>
          <w:tcPr>
            <w:tcW w:type="dxa" w:w="4091"/>
          </w:tcPr>
          <w:p>
            <w:pPr>
              <w:spacing w:line="240" w:lineRule="auto" w:after="0"/>
            </w:pPr>
            <w:r/>
            <w:r>
              <w:rPr>
                <w:sz w:val="20"/>
              </w:rPr>
              <w:t>YNoise, published default</w:t>
            </w:r>
          </w:p>
        </w:tc>
        <w:tc>
          <w:tcPr>
            <w:tcW w:type="dxa" w:w="1680"/>
          </w:tcPr>
          <w:p>
            <w:pPr>
              <w:spacing w:line="240" w:lineRule="auto" w:after="0"/>
            </w:pPr>
            <w:r/>
            <w:r>
              <w:rPr>
                <w:sz w:val="20"/>
              </w:rPr>
              <w:t>0.888 ± 0.115</w:t>
            </w:r>
          </w:p>
        </w:tc>
        <w:tc>
          <w:tcPr>
            <w:tcW w:type="dxa" w:w="877"/>
          </w:tcPr>
          <w:p>
            <w:pPr>
              <w:spacing w:line="240" w:lineRule="auto" w:after="0"/>
            </w:pPr>
            <w:r/>
            <w:r>
              <w:rPr>
                <w:sz w:val="20"/>
              </w:rPr>
              <w:t>-0.132</w:t>
            </w:r>
          </w:p>
        </w:tc>
        <w:tc>
          <w:tcPr>
            <w:tcW w:type="dxa" w:w="1899"/>
          </w:tcPr>
          <w:p>
            <w:pPr>
              <w:spacing w:line="240" w:lineRule="auto" w:after="0"/>
            </w:pPr>
            <w:r/>
            <w:r>
              <w:rPr>
                <w:sz w:val="20"/>
              </w:rPr>
              <w:t>[-0.165, -0.098]</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1/4</w:t>
            </w:r>
          </w:p>
        </w:tc>
      </w:tr>
      <w:tr>
        <w:tc>
          <w:tcPr>
            <w:tcW w:type="dxa" w:w="4091"/>
          </w:tcPr>
          <w:p>
            <w:pPr>
              <w:spacing w:line="240" w:lineRule="auto" w:after="0"/>
            </w:pPr>
            <w:r/>
            <w:r>
              <w:rPr>
                <w:sz w:val="20"/>
              </w:rPr>
              <w:t>YNoise, EBSSA-selected</w:t>
            </w:r>
          </w:p>
        </w:tc>
        <w:tc>
          <w:tcPr>
            <w:tcW w:type="dxa" w:w="1680"/>
          </w:tcPr>
          <w:p>
            <w:pPr>
              <w:spacing w:line="240" w:lineRule="auto" w:after="0"/>
            </w:pPr>
            <w:r/>
            <w:r>
              <w:rPr>
                <w:sz w:val="20"/>
              </w:rPr>
              <w:t>0.817 ± 0.136</w:t>
            </w:r>
          </w:p>
        </w:tc>
        <w:tc>
          <w:tcPr>
            <w:tcW w:type="dxa" w:w="877"/>
          </w:tcPr>
          <w:p>
            <w:pPr>
              <w:spacing w:line="240" w:lineRule="auto" w:after="0"/>
            </w:pPr>
            <w:r/>
            <w:r>
              <w:rPr>
                <w:sz w:val="20"/>
              </w:rPr>
              <w:t>-0.062</w:t>
            </w:r>
          </w:p>
        </w:tc>
        <w:tc>
          <w:tcPr>
            <w:tcW w:type="dxa" w:w="1899"/>
          </w:tcPr>
          <w:p>
            <w:pPr>
              <w:spacing w:line="240" w:lineRule="auto" w:after="0"/>
            </w:pPr>
            <w:r/>
            <w:r>
              <w:rPr>
                <w:sz w:val="20"/>
              </w:rPr>
              <w:t>[-0.092, -0.031]</w:t>
            </w:r>
          </w:p>
        </w:tc>
        <w:tc>
          <w:tcPr>
            <w:tcW w:type="dxa" w:w="877"/>
          </w:tcPr>
          <w:p>
            <w:pPr>
              <w:spacing w:line="240" w:lineRule="auto" w:after="0"/>
            </w:pPr>
            <w:r/>
            <w:r>
              <w:rPr>
                <w:sz w:val="20"/>
              </w:rPr>
              <w:t>&lt;0.001</w:t>
            </w:r>
          </w:p>
        </w:tc>
        <w:tc>
          <w:tcPr>
            <w:tcW w:type="dxa" w:w="1096"/>
          </w:tcPr>
          <w:p>
            <w:pPr>
              <w:spacing w:line="240" w:lineRule="auto" w:after="0"/>
            </w:pPr>
            <w:r/>
            <w:r>
              <w:rPr>
                <w:sz w:val="20"/>
              </w:rPr>
              <w:t>= 0.002</w:t>
            </w:r>
          </w:p>
        </w:tc>
        <w:tc>
          <w:tcPr>
            <w:tcW w:type="dxa" w:w="877"/>
          </w:tcPr>
          <w:p>
            <w:pPr>
              <w:spacing w:line="240" w:lineRule="auto" w:after="0"/>
            </w:pPr>
            <w:r/>
            <w:r>
              <w:rPr>
                <w:sz w:val="20"/>
              </w:rPr>
              <w:t>1/4</w:t>
            </w:r>
          </w:p>
        </w:tc>
      </w:tr>
      <w:tr>
        <w:tc>
          <w:tcPr>
            <w:tcW w:type="dxa" w:w="4091"/>
          </w:tcPr>
          <w:p>
            <w:pPr>
              <w:spacing w:line="240" w:lineRule="auto" w:after="0"/>
            </w:pPr>
            <w:r/>
            <w:r>
              <w:rPr>
                <w:sz w:val="20"/>
              </w:rPr>
              <w:t>YNoise, dt = W handed over (no labels)</w:t>
            </w:r>
          </w:p>
        </w:tc>
        <w:tc>
          <w:tcPr>
            <w:tcW w:type="dxa" w:w="1680"/>
          </w:tcPr>
          <w:p>
            <w:pPr>
              <w:spacing w:line="240" w:lineRule="auto" w:after="0"/>
            </w:pPr>
            <w:r/>
            <w:r>
              <w:rPr>
                <w:sz w:val="20"/>
              </w:rPr>
              <w:t>0.885 ± 0.102</w:t>
            </w:r>
          </w:p>
        </w:tc>
        <w:tc>
          <w:tcPr>
            <w:tcW w:type="dxa" w:w="877"/>
          </w:tcPr>
          <w:p>
            <w:pPr>
              <w:spacing w:line="240" w:lineRule="auto" w:after="0"/>
            </w:pPr>
            <w:r/>
            <w:r>
              <w:rPr>
                <w:sz w:val="20"/>
              </w:rPr>
              <w:t>-0.130</w:t>
            </w:r>
          </w:p>
        </w:tc>
        <w:tc>
          <w:tcPr>
            <w:tcW w:type="dxa" w:w="1899"/>
          </w:tcPr>
          <w:p>
            <w:pPr>
              <w:spacing w:line="240" w:lineRule="auto" w:after="0"/>
            </w:pPr>
            <w:r/>
            <w:r>
              <w:rPr>
                <w:sz w:val="20"/>
              </w:rPr>
              <w:t>[-0.166, -0.098]</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Two-stage cascade, f = 0.1 (no labels)</w:t>
            </w:r>
          </w:p>
        </w:tc>
        <w:tc>
          <w:tcPr>
            <w:tcW w:type="dxa" w:w="1680"/>
          </w:tcPr>
          <w:p>
            <w:pPr>
              <w:spacing w:line="240" w:lineRule="auto" w:after="0"/>
            </w:pPr>
            <w:r/>
            <w:r>
              <w:rPr>
                <w:sz w:val="20"/>
              </w:rPr>
              <w:t>0.755 ± 0.139</w:t>
            </w:r>
          </w:p>
        </w:tc>
        <w:tc>
          <w:tcPr>
            <w:tcW w:type="dxa" w:w="877"/>
          </w:tcPr>
          <w:p>
            <w:pPr>
              <w:spacing w:line="240" w:lineRule="auto" w:after="0"/>
            </w:pPr>
            <w:r/>
            <w:r>
              <w:rPr>
                <w:sz w:val="20"/>
              </w:rPr>
              <w:t>+0.000</w:t>
            </w:r>
          </w:p>
        </w:tc>
        <w:tc>
          <w:tcPr>
            <w:tcW w:type="dxa" w:w="1899"/>
          </w:tcPr>
          <w:p>
            <w:pPr>
              <w:spacing w:line="240" w:lineRule="auto" w:after="0"/>
            </w:pPr>
            <w:r/>
            <w:r>
              <w:rPr>
                <w:sz w:val="20"/>
              </w:rPr>
              <w:t>[-0.000, +0.001]</w:t>
            </w:r>
          </w:p>
        </w:tc>
        <w:tc>
          <w:tcPr>
            <w:tcW w:type="dxa" w:w="877"/>
          </w:tcPr>
          <w:p>
            <w:pPr>
              <w:spacing w:line="240" w:lineRule="auto" w:after="0"/>
            </w:pPr>
            <w:r/>
            <w:r>
              <w:rPr>
                <w:sz w:val="20"/>
              </w:rPr>
              <w:t>0.017</w:t>
            </w:r>
          </w:p>
        </w:tc>
        <w:tc>
          <w:tcPr>
            <w:tcW w:type="dxa" w:w="1096"/>
          </w:tcPr>
          <w:p>
            <w:pPr>
              <w:spacing w:line="240" w:lineRule="auto" w:after="0"/>
            </w:pPr>
            <w:r/>
            <w:r>
              <w:rPr>
                <w:sz w:val="20"/>
              </w:rPr>
              <w:t>= 0.375</w:t>
            </w:r>
          </w:p>
        </w:tc>
        <w:tc>
          <w:tcPr>
            <w:tcW w:type="dxa" w:w="877"/>
          </w:tcPr>
          <w:p>
            <w:pPr>
              <w:spacing w:line="240" w:lineRule="auto" w:after="0"/>
            </w:pPr>
            <w:r/>
            <w:r>
              <w:rPr>
                <w:sz w:val="20"/>
              </w:rPr>
              <w:t>2/4</w:t>
            </w:r>
          </w:p>
        </w:tc>
      </w:tr>
      <w:tr>
        <w:tc>
          <w:tcPr>
            <w:tcW w:type="dxa" w:w="4091"/>
          </w:tcPr>
          <w:p>
            <w:pPr>
              <w:spacing w:line="240" w:lineRule="auto" w:after="0"/>
            </w:pPr>
            <w:r/>
            <w:r>
              <w:rPr>
                <w:sz w:val="20"/>
              </w:rPr>
              <w:t>Two-stage cascade, f = 0.2 (no labels)</w:t>
            </w:r>
          </w:p>
        </w:tc>
        <w:tc>
          <w:tcPr>
            <w:tcW w:type="dxa" w:w="1680"/>
          </w:tcPr>
          <w:p>
            <w:pPr>
              <w:spacing w:line="240" w:lineRule="auto" w:after="0"/>
            </w:pPr>
            <w:r/>
            <w:r>
              <w:rPr>
                <w:sz w:val="20"/>
              </w:rPr>
              <w:t>0.759 ± 0.139</w:t>
            </w:r>
          </w:p>
        </w:tc>
        <w:tc>
          <w:tcPr>
            <w:tcW w:type="dxa" w:w="877"/>
          </w:tcPr>
          <w:p>
            <w:pPr>
              <w:spacing w:line="240" w:lineRule="auto" w:after="0"/>
            </w:pPr>
            <w:r/>
            <w:r>
              <w:rPr>
                <w:sz w:val="20"/>
              </w:rPr>
              <w:t>-0.003</w:t>
            </w:r>
          </w:p>
        </w:tc>
        <w:tc>
          <w:tcPr>
            <w:tcW w:type="dxa" w:w="1899"/>
          </w:tcPr>
          <w:p>
            <w:pPr>
              <w:spacing w:line="240" w:lineRule="auto" w:after="0"/>
            </w:pPr>
            <w:r/>
            <w:r>
              <w:rPr>
                <w:sz w:val="20"/>
              </w:rPr>
              <w:t>[-0.008, +0.000]</w:t>
            </w:r>
          </w:p>
        </w:tc>
        <w:tc>
          <w:tcPr>
            <w:tcW w:type="dxa" w:w="877"/>
          </w:tcPr>
          <w:p>
            <w:pPr>
              <w:spacing w:line="240" w:lineRule="auto" w:after="0"/>
            </w:pPr>
            <w:r/>
            <w:r>
              <w:rPr>
                <w:sz w:val="20"/>
              </w:rPr>
              <w:t>&lt;0.001</w:t>
            </w:r>
          </w:p>
        </w:tc>
        <w:tc>
          <w:tcPr>
            <w:tcW w:type="dxa" w:w="1096"/>
          </w:tcPr>
          <w:p>
            <w:pPr>
              <w:spacing w:line="240" w:lineRule="auto" w:after="0"/>
            </w:pPr>
            <w:r/>
            <w:r>
              <w:rPr>
                <w:sz w:val="20"/>
              </w:rPr>
              <w:t>= 0.016</w:t>
            </w:r>
          </w:p>
        </w:tc>
        <w:tc>
          <w:tcPr>
            <w:tcW w:type="dxa" w:w="877"/>
          </w:tcPr>
          <w:p>
            <w:pPr>
              <w:spacing w:line="240" w:lineRule="auto" w:after="0"/>
            </w:pPr>
            <w:r/>
            <w:r>
              <w:rPr>
                <w:sz w:val="20"/>
              </w:rPr>
              <w:t>1/4</w:t>
            </w:r>
          </w:p>
        </w:tc>
      </w:tr>
      <w:tr>
        <w:tc>
          <w:tcPr>
            <w:tcW w:type="dxa" w:w="4091"/>
          </w:tcPr>
          <w:p>
            <w:pPr>
              <w:spacing w:line="240" w:lineRule="auto" w:after="0"/>
            </w:pPr>
            <w:r/>
            <w:r>
              <w:rPr>
                <w:sz w:val="20"/>
              </w:rPr>
              <w:t>YNoise, nested CV</w:t>
            </w:r>
          </w:p>
        </w:tc>
        <w:tc>
          <w:tcPr>
            <w:tcW w:type="dxa" w:w="1680"/>
          </w:tcPr>
          <w:p>
            <w:pPr>
              <w:spacing w:line="240" w:lineRule="auto" w:after="0"/>
            </w:pPr>
            <w:r/>
            <w:r>
              <w:rPr>
                <w:sz w:val="20"/>
              </w:rPr>
              <w:t>0.904 ± 0.090</w:t>
            </w:r>
          </w:p>
        </w:tc>
        <w:tc>
          <w:tcPr>
            <w:tcW w:type="dxa" w:w="877"/>
          </w:tcPr>
          <w:p>
            <w:pPr>
              <w:spacing w:line="240" w:lineRule="auto" w:after="0"/>
            </w:pPr>
            <w:r/>
            <w:r>
              <w:rPr>
                <w:sz w:val="20"/>
              </w:rPr>
              <w:t>-0.291</w:t>
            </w:r>
          </w:p>
        </w:tc>
        <w:tc>
          <w:tcPr>
            <w:tcW w:type="dxa" w:w="1899"/>
          </w:tcPr>
          <w:p>
            <w:pPr>
              <w:spacing w:line="240" w:lineRule="auto" w:after="0"/>
            </w:pPr>
            <w:r/>
            <w:r>
              <w:rPr>
                <w:sz w:val="20"/>
              </w:rPr>
              <w:t>[-0.316, -0.267]</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Event bilateral, nested CV</w:t>
            </w:r>
          </w:p>
        </w:tc>
        <w:tc>
          <w:tcPr>
            <w:tcW w:type="dxa" w:w="1680"/>
          </w:tcPr>
          <w:p>
            <w:pPr>
              <w:spacing w:line="240" w:lineRule="auto" w:after="0"/>
            </w:pPr>
            <w:r/>
            <w:r>
              <w:rPr>
                <w:sz w:val="20"/>
              </w:rPr>
              <w:t>0.883 ± 0.102</w:t>
            </w:r>
          </w:p>
        </w:tc>
        <w:tc>
          <w:tcPr>
            <w:tcW w:type="dxa" w:w="877"/>
          </w:tcPr>
          <w:p>
            <w:pPr>
              <w:spacing w:line="240" w:lineRule="auto" w:after="0"/>
            </w:pPr>
            <w:r/>
            <w:r>
              <w:rPr>
                <w:sz w:val="20"/>
              </w:rPr>
              <w:t>-0.270</w:t>
            </w:r>
          </w:p>
        </w:tc>
        <w:tc>
          <w:tcPr>
            <w:tcW w:type="dxa" w:w="1899"/>
          </w:tcPr>
          <w:p>
            <w:pPr>
              <w:spacing w:line="240" w:lineRule="auto" w:after="0"/>
            </w:pPr>
            <w:r/>
            <w:r>
              <w:rPr>
                <w:sz w:val="20"/>
              </w:rPr>
              <w:t>[-0.303, -0.241]</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PFD-A (approximation), nested CV</w:t>
            </w:r>
          </w:p>
        </w:tc>
        <w:tc>
          <w:tcPr>
            <w:tcW w:type="dxa" w:w="1680"/>
          </w:tcPr>
          <w:p>
            <w:pPr>
              <w:spacing w:line="240" w:lineRule="auto" w:after="0"/>
            </w:pPr>
            <w:r/>
            <w:r>
              <w:rPr>
                <w:sz w:val="20"/>
              </w:rPr>
              <w:t>0.882 ± 0.120</w:t>
            </w:r>
          </w:p>
        </w:tc>
        <w:tc>
          <w:tcPr>
            <w:tcW w:type="dxa" w:w="877"/>
          </w:tcPr>
          <w:p>
            <w:pPr>
              <w:spacing w:line="240" w:lineRule="auto" w:after="0"/>
            </w:pPr>
            <w:r/>
            <w:r>
              <w:rPr>
                <w:sz w:val="20"/>
              </w:rPr>
              <w:t>-0.269</w:t>
            </w:r>
          </w:p>
        </w:tc>
        <w:tc>
          <w:tcPr>
            <w:tcW w:type="dxa" w:w="1899"/>
          </w:tcPr>
          <w:p>
            <w:pPr>
              <w:spacing w:line="240" w:lineRule="auto" w:after="0"/>
            </w:pPr>
            <w:r/>
            <w:r>
              <w:rPr>
                <w:sz w:val="20"/>
              </w:rPr>
              <w:t>[-0.306, -0.230]</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DWF, nested CV</w:t>
            </w:r>
          </w:p>
        </w:tc>
        <w:tc>
          <w:tcPr>
            <w:tcW w:type="dxa" w:w="1680"/>
          </w:tcPr>
          <w:p>
            <w:pPr>
              <w:spacing w:line="240" w:lineRule="auto" w:after="0"/>
            </w:pPr>
            <w:r/>
            <w:r>
              <w:rPr>
                <w:sz w:val="20"/>
              </w:rPr>
              <w:t>0.864 ± 0.118</w:t>
            </w:r>
          </w:p>
        </w:tc>
        <w:tc>
          <w:tcPr>
            <w:tcW w:type="dxa" w:w="877"/>
          </w:tcPr>
          <w:p>
            <w:pPr>
              <w:spacing w:line="240" w:lineRule="auto" w:after="0"/>
            </w:pPr>
            <w:r/>
            <w:r>
              <w:rPr>
                <w:sz w:val="20"/>
              </w:rPr>
              <w:t>-0.250</w:t>
            </w:r>
          </w:p>
        </w:tc>
        <w:tc>
          <w:tcPr>
            <w:tcW w:type="dxa" w:w="1899"/>
          </w:tcPr>
          <w:p>
            <w:pPr>
              <w:spacing w:line="240" w:lineRule="auto" w:after="0"/>
            </w:pPr>
            <w:r/>
            <w:r>
              <w:rPr>
                <w:sz w:val="20"/>
              </w:rPr>
              <w:t>[-0.277, -0.229]</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kNoise, nested CV</w:t>
            </w:r>
          </w:p>
        </w:tc>
        <w:tc>
          <w:tcPr>
            <w:tcW w:type="dxa" w:w="1680"/>
          </w:tcPr>
          <w:p>
            <w:pPr>
              <w:spacing w:line="240" w:lineRule="auto" w:after="0"/>
            </w:pPr>
            <w:r/>
            <w:r>
              <w:rPr>
                <w:sz w:val="20"/>
              </w:rPr>
              <w:t>0.707 ± 0.154</w:t>
            </w:r>
          </w:p>
        </w:tc>
        <w:tc>
          <w:tcPr>
            <w:tcW w:type="dxa" w:w="877"/>
          </w:tcPr>
          <w:p>
            <w:pPr>
              <w:spacing w:line="240" w:lineRule="auto" w:after="0"/>
            </w:pPr>
            <w:r/>
            <w:r>
              <w:rPr>
                <w:sz w:val="20"/>
              </w:rPr>
              <w:t>-0.094</w:t>
            </w:r>
          </w:p>
        </w:tc>
        <w:tc>
          <w:tcPr>
            <w:tcW w:type="dxa" w:w="1899"/>
          </w:tcPr>
          <w:p>
            <w:pPr>
              <w:spacing w:line="240" w:lineRule="auto" w:after="0"/>
            </w:pPr>
            <w:r/>
            <w:r>
              <w:rPr>
                <w:sz w:val="20"/>
              </w:rPr>
              <w:t>[-0.149, -0.042]</w:t>
            </w:r>
          </w:p>
        </w:tc>
        <w:tc>
          <w:tcPr>
            <w:tcW w:type="dxa" w:w="877"/>
          </w:tcPr>
          <w:p>
            <w:pPr>
              <w:spacing w:line="240" w:lineRule="auto" w:after="0"/>
            </w:pPr>
            <w:r/>
            <w:r>
              <w:rPr>
                <w:sz w:val="20"/>
              </w:rPr>
              <w:t>&lt;0.001</w:t>
            </w:r>
          </w:p>
        </w:tc>
        <w:tc>
          <w:tcPr>
            <w:tcW w:type="dxa" w:w="1096"/>
          </w:tcPr>
          <w:p>
            <w:pPr>
              <w:spacing w:line="240" w:lineRule="auto" w:after="0"/>
            </w:pPr>
            <w:r/>
            <w:r>
              <w:rPr>
                <w:sz w:val="20"/>
              </w:rPr>
              <w:t>= 0.003</w:t>
            </w:r>
          </w:p>
        </w:tc>
        <w:tc>
          <w:tcPr>
            <w:tcW w:type="dxa" w:w="877"/>
          </w:tcPr>
          <w:p>
            <w:pPr>
              <w:spacing w:line="240" w:lineRule="auto" w:after="0"/>
            </w:pPr>
            <w:r/>
            <w:r>
              <w:rPr>
                <w:sz w:val="20"/>
              </w:rPr>
              <w:t>1/4</w:t>
            </w:r>
          </w:p>
        </w:tc>
      </w:tr>
      <w:tr>
        <w:tc>
          <w:tcPr>
            <w:tcW w:type="dxa" w:w="4091"/>
          </w:tcPr>
          <w:p>
            <w:pPr>
              <w:spacing w:line="240" w:lineRule="auto" w:after="0"/>
            </w:pPr>
            <w:r/>
            <w:r>
              <w:rPr>
                <w:sz w:val="20"/>
              </w:rPr>
              <w:t>Background-activity filter, nested CV</w:t>
            </w:r>
          </w:p>
        </w:tc>
        <w:tc>
          <w:tcPr>
            <w:tcW w:type="dxa" w:w="1680"/>
          </w:tcPr>
          <w:p>
            <w:pPr>
              <w:spacing w:line="240" w:lineRule="auto" w:after="0"/>
            </w:pPr>
            <w:r/>
            <w:r>
              <w:rPr>
                <w:sz w:val="20"/>
              </w:rPr>
              <w:t>0.835 ± 0.096</w:t>
            </w:r>
          </w:p>
        </w:tc>
        <w:tc>
          <w:tcPr>
            <w:tcW w:type="dxa" w:w="877"/>
          </w:tcPr>
          <w:p>
            <w:pPr>
              <w:spacing w:line="240" w:lineRule="auto" w:after="0"/>
            </w:pPr>
            <w:r/>
            <w:r>
              <w:rPr>
                <w:sz w:val="20"/>
              </w:rPr>
              <w:t>-0.222</w:t>
            </w:r>
          </w:p>
        </w:tc>
        <w:tc>
          <w:tcPr>
            <w:tcW w:type="dxa" w:w="1899"/>
          </w:tcPr>
          <w:p>
            <w:pPr>
              <w:spacing w:line="240" w:lineRule="auto" w:after="0"/>
            </w:pPr>
            <w:r/>
            <w:r>
              <w:rPr>
                <w:sz w:val="20"/>
              </w:rPr>
              <w:t>[-0.251, -0.193]</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Voxelised Poisson LR, nested CV</w:t>
            </w:r>
          </w:p>
        </w:tc>
        <w:tc>
          <w:tcPr>
            <w:tcW w:type="dxa" w:w="1680"/>
          </w:tcPr>
          <w:p>
            <w:pPr>
              <w:spacing w:line="240" w:lineRule="auto" w:after="0"/>
            </w:pPr>
            <w:r/>
            <w:r>
              <w:rPr>
                <w:sz w:val="20"/>
              </w:rPr>
              <w:t>0.853 ± 0.101</w:t>
            </w:r>
          </w:p>
        </w:tc>
        <w:tc>
          <w:tcPr>
            <w:tcW w:type="dxa" w:w="877"/>
          </w:tcPr>
          <w:p>
            <w:pPr>
              <w:spacing w:line="240" w:lineRule="auto" w:after="0"/>
            </w:pPr>
            <w:r/>
            <w:r>
              <w:rPr>
                <w:sz w:val="20"/>
              </w:rPr>
              <w:t>-0.239</w:t>
            </w:r>
          </w:p>
        </w:tc>
        <w:tc>
          <w:tcPr>
            <w:tcW w:type="dxa" w:w="1899"/>
          </w:tcPr>
          <w:p>
            <w:pPr>
              <w:spacing w:line="240" w:lineRule="auto" w:after="0"/>
            </w:pPr>
            <w:r/>
            <w:r>
              <w:rPr>
                <w:sz w:val="20"/>
              </w:rPr>
              <w:t>[-0.266, -0.215]</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MLPF-style (supervised, other scenes)</w:t>
            </w:r>
          </w:p>
        </w:tc>
        <w:tc>
          <w:tcPr>
            <w:tcW w:type="dxa" w:w="1680"/>
          </w:tcPr>
          <w:p>
            <w:pPr>
              <w:spacing w:line="240" w:lineRule="auto" w:after="0"/>
            </w:pPr>
            <w:r/>
            <w:r>
              <w:rPr>
                <w:sz w:val="20"/>
              </w:rPr>
              <w:t>0.897 ± 0.105</w:t>
            </w:r>
          </w:p>
        </w:tc>
        <w:tc>
          <w:tcPr>
            <w:tcW w:type="dxa" w:w="877"/>
          </w:tcPr>
          <w:p>
            <w:pPr>
              <w:spacing w:line="240" w:lineRule="auto" w:after="0"/>
            </w:pPr>
            <w:r/>
            <w:r>
              <w:rPr>
                <w:sz w:val="20"/>
              </w:rPr>
              <w:t>-0.284</w:t>
            </w:r>
          </w:p>
        </w:tc>
        <w:tc>
          <w:tcPr>
            <w:tcW w:type="dxa" w:w="1899"/>
          </w:tcPr>
          <w:p>
            <w:pPr>
              <w:spacing w:line="240" w:lineRule="auto" w:after="0"/>
            </w:pPr>
            <w:r/>
            <w:r>
              <w:rPr>
                <w:sz w:val="20"/>
              </w:rPr>
              <w:t>[-0.317, -0.250]</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r>
        <w:tc>
          <w:tcPr>
            <w:tcW w:type="dxa" w:w="4091"/>
          </w:tcPr>
          <w:p>
            <w:pPr>
              <w:spacing w:line="240" w:lineRule="auto" w:after="0"/>
            </w:pPr>
            <w:r/>
            <w:r>
              <w:rPr>
                <w:sz w:val="20"/>
              </w:rPr>
              <w:t>EDnCNN-style (supervised, other scenes)</w:t>
            </w:r>
          </w:p>
        </w:tc>
        <w:tc>
          <w:tcPr>
            <w:tcW w:type="dxa" w:w="1680"/>
          </w:tcPr>
          <w:p>
            <w:pPr>
              <w:spacing w:line="240" w:lineRule="auto" w:after="0"/>
            </w:pPr>
            <w:r/>
            <w:r>
              <w:rPr>
                <w:sz w:val="20"/>
              </w:rPr>
              <w:t>0.913 ± 0.094</w:t>
            </w:r>
          </w:p>
        </w:tc>
        <w:tc>
          <w:tcPr>
            <w:tcW w:type="dxa" w:w="877"/>
          </w:tcPr>
          <w:p>
            <w:pPr>
              <w:spacing w:line="240" w:lineRule="auto" w:after="0"/>
            </w:pPr>
            <w:r/>
            <w:r>
              <w:rPr>
                <w:sz w:val="20"/>
              </w:rPr>
              <w:t>-0.300</w:t>
            </w:r>
          </w:p>
        </w:tc>
        <w:tc>
          <w:tcPr>
            <w:tcW w:type="dxa" w:w="1899"/>
          </w:tcPr>
          <w:p>
            <w:pPr>
              <w:spacing w:line="240" w:lineRule="auto" w:after="0"/>
            </w:pPr>
            <w:r/>
            <w:r>
              <w:rPr>
                <w:sz w:val="20"/>
              </w:rPr>
              <w:t>[-0.334, -0.266]</w:t>
            </w:r>
          </w:p>
        </w:tc>
        <w:tc>
          <w:tcPr>
            <w:tcW w:type="dxa" w:w="877"/>
          </w:tcPr>
          <w:p>
            <w:pPr>
              <w:spacing w:line="240" w:lineRule="auto" w:after="0"/>
            </w:pPr>
            <w:r/>
            <w:r>
              <w:rPr>
                <w:sz w:val="20"/>
              </w:rPr>
              <w:t>&lt;0.001</w:t>
            </w:r>
          </w:p>
        </w:tc>
        <w:tc>
          <w:tcPr>
            <w:tcW w:type="dxa" w:w="1096"/>
          </w:tcPr>
          <w:p>
            <w:pPr>
              <w:spacing w:line="240" w:lineRule="auto" w:after="0"/>
            </w:pPr>
            <w:r/>
            <w:r>
              <w:rPr>
                <w:sz w:val="20"/>
              </w:rPr>
              <w:t>&lt; 0.001</w:t>
            </w:r>
          </w:p>
        </w:tc>
        <w:tc>
          <w:tcPr>
            <w:tcW w:type="dxa" w:w="877"/>
          </w:tcPr>
          <w:p>
            <w:pPr>
              <w:spacing w:line="240" w:lineRule="auto" w:after="0"/>
            </w:pPr>
            <w:r/>
            <w:r>
              <w:rPr>
                <w:sz w:val="20"/>
              </w:rPr>
              <w:t>0/4</w:t>
            </w:r>
          </w:p>
        </w:tc>
      </w:tr>
    </w:tbl>
    <w:p>
      <w:pPr>
        <w:spacing w:after="120"/>
      </w:pPr>
    </w:p>
    <w:p>
      <w:pPr>
        <w:sectPr>
          <w:pgSz w:w="16838" w:h="11906" w:orient="landscape"/>
          <w:pgMar w:top="2438" w:right="2721" w:bottom="2438" w:left="2721" w:header="720" w:footer="720" w:gutter="0"/>
          <w:cols w:space="720"/>
          <w:docGrid w:linePitch="360"/>
          <w:lnNumType w:countBy="1" w:restart="continuous"/>
        </w:sectPr>
      </w:pPr>
    </w:p>
    <w:p>
      <w:pPr>
        <w:keepNext/>
        <w:spacing w:before="240"/>
        <w:jc w:val="center"/>
      </w:pPr>
      <w:r>
        <w:drawing>
          <wp:inline xmlns:a="http://schemas.openxmlformats.org/drawingml/2006/main" xmlns:pic="http://schemas.openxmlformats.org/drawingml/2006/picture">
            <wp:extent cx="4103999" cy="2443954"/>
            <wp:docPr id="7" name="Picture 7"/>
            <wp:cNvGraphicFramePr>
              <a:graphicFrameLocks noChangeAspect="1"/>
            </wp:cNvGraphicFramePr>
            <a:graphic>
              <a:graphicData uri="http://schemas.openxmlformats.org/drawingml/2006/picture">
                <pic:pic>
                  <pic:nvPicPr>
                    <pic:cNvPr id="0" name="fig9_dnd21.png"/>
                    <pic:cNvPicPr/>
                  </pic:nvPicPr>
                  <pic:blipFill>
                    <a:blip r:embed="rId16"/>
                    <a:stretch>
                      <a:fillRect/>
                    </a:stretch>
                  </pic:blipFill>
                  <pic:spPr>
                    <a:xfrm>
                      <a:off x="0" y="0"/>
                      <a:ext cx="4103999" cy="2443954"/>
                    </a:xfrm>
                    <a:prstGeom prst="rect"/>
                  </pic:spPr>
                </pic:pic>
              </a:graphicData>
            </a:graphic>
          </wp:inline>
        </w:drawing>
      </w:r>
    </w:p>
    <w:p>
      <w:pPr>
        <w:spacing w:before="120" w:after="280" w:line="240" w:lineRule="auto"/>
      </w:pPr>
      <w:r>
        <w:rPr>
          <w:b w:val="0"/>
          <w:i w:val="0"/>
          <w:sz w:val="16"/>
        </w:rPr>
        <w:t>Fig. 7. DND21 evaluation on 80 mixtures recorded with a third sensor (DAVIS346). (a) Mean ROC-AUC with SD for every configuration of Table 4, grouped by how the parameters were obtained: without labels or tuning on DND21, by nested leave-one-scene-out selection, or by supervised training on the other scenes. (b) Mean AUC with SD of the label-free path (zero-knowledge proposal, YNoise at its default, YNoise with the handed-over window) against the measured-noise condition; the nominal per-pixel rate of the thinned dark recording is given, and "light (native)" is the unthinned recording under uniform illumination.</w:t>
      </w:r>
    </w:p>
    <w:p>
      <w:pPr>
        <w:keepNext/>
        <w:spacing w:before="160" w:after="80"/>
      </w:pPr>
      <w:r>
        <w:rPr>
          <w:rFonts w:ascii="Times New Roman" w:hAnsi="Times New Roman"/>
          <w:i/>
          <w:sz w:val="20"/>
        </w:rPr>
        <w:t>5.9. Transfer of a released supervised denoiser</w:t>
      </w:r>
    </w:p>
    <w:p>
      <w:pPr>
        <w:spacing w:after="120" w:before="0"/>
      </w:pPr>
      <w:r>
        <w:rPr>
          <w:b w:val="0"/>
          <w:i w:val="0"/>
        </w:rPr>
        <w:t>The released AEDNet model, applied without re-training under the adaptations of Section 4.3, reached a mean AUC of 0.686 ± 0.141 over the 43 EBSSA recordings on the scored event subsets (range 0.322-0.909; 5 recordings below chance). On the same events the untuned proposal reached 0.783 and YNoise at its published default 0.739 (full-stream values 0.781 and 0.738, the fixed-configuration values of Supplementary Table S5; the largest subset-versus-full-stream discrepancy in any recording was 0.019), so the transferred network ranked below the untuned proposal: proposal minus AEDNet +0.097 (95% bootstrap CI [+0.045, +0.143]), with the proposal ahead on 35 of 43 recordings, and YNoise default minus AEDNet +0.053 (95% CI [+0.010, +0.098]). The gap was concentrated on the 180 x 240-pixel sensor (AEDNet 0.697 against 0.830 for the proposal) and small on the 240 x 304-pixel sensor (0.664 against 0.688).</w:t>
      </w:r>
    </w:p>
    <w:p>
      <w:pPr>
        <w:spacing w:after="120" w:before="0"/>
      </w:pPr>
      <w:r>
        <w:rPr>
          <w:b w:val="0"/>
          <w:i w:val="0"/>
        </w:rPr>
        <w:t>On DND21 the same model reached 0.847 ± 0.083 over the 80 mixtures (range 0.645-0.999; 0 mixtures below chance), against 0.755 for the untuned proposal and 0.888 for YNoise at its default on the same events (full-stream values 0.755 and 0.888; largest subset-versus-full-stream discrepancy 0.036). Here the network ranked above the untuned proposal: proposal minus AEDNet -0.092 (95% cluster-bootstrap CI [-0.137, -0.055]), with the proposal ahead on 17 of 80 mixtures, and YNoise default minus AEDNet +0.041 (95% CI [+0.003, +0.077]). By scene, AEDNet ranged from 0.784 (dots5) to 0.941 (accel_dot), and by noise condition from 0.815 (dark 5 Hz) to 0.883 (light native) (Supplementary Table S7). These are the numbers of a fixed network trained on another sensor and noise distribution and scored on event subsets; they locate the released model on these two datasets and say nothing about what AEDNet re-trained on their labels would reach.</w:t>
      </w:r>
    </w:p>
    <w:p>
      <w:pPr>
        <w:keepNext/>
        <w:spacing w:before="240" w:after="80"/>
      </w:pPr>
      <w:r>
        <w:rPr>
          <w:rFonts w:ascii="Times New Roman" w:hAnsi="Times New Roman"/>
          <w:b/>
          <w:sz w:val="20"/>
        </w:rPr>
        <w:t>6. Discussion</w:t>
      </w:r>
    </w:p>
    <w:p>
      <w:pPr>
        <w:spacing w:after="120" w:before="0"/>
      </w:pPr>
      <w:r>
        <w:rPr>
          <w:b w:val="0"/>
          <w:i w:val="0"/>
        </w:rPr>
        <w:t>Read as anomaly detection, the per-pixel Poisson test sits where a well-specified parametric normal model is expected to sit: a competent but not the best ranker, distinguished by calibration and by the reuse of the fitted normal model. On EBSSA its ROC-AUC is statistically indistinguishable from 3 of the 7 published unsupervised event filters when those filters are given cross-validated tuning, and below the best of them by 0.09; without labels that gap closes (0.781 against 0.738 at fixed configurations, Supplementary Table S5). On DND21 the gap is wider and does not close (0.755 untuned against 0.888 for YNoise at its published default), and on the dwelling synthetic target the detector fell below chance. What it adds, on the evidence here, is that its false-alarm budget is honoured without labels, that its window transfers between sensors when stated as an expected count, and that the same window, handed to YNoise, recovers 99.7% of the accuracy of label tuning on EBSSA, where the published default is far from the tuned value. On DND21, where the default is already near the tuned value, the hand-over gave -0.003 on average (95% CI [-0.024, +0.020], not significant at the segment level), with a positive difference on the two sparse synthetic scenes and a negative one on the two dense natural scenes (descriptive). The claim we can support is therefore narrower than "the stream calibrates the filter": the rate-derived window is a label-free substitute for tuning when the scene is sparse and transient at each pixel, and it is not a substitute for a scene-appropriate default when the scene is dense. More generally, a window in milliseconds encodes a scale the designer chose for one sensor and one scene; stating it in a unit the stream itself supplies, the expected number of background events, is what let one setting carry across three sensor models here, and the same substitution is open to any filter with a time constant.</w:t>
      </w:r>
    </w:p>
    <w:p>
      <w:pPr>
        <w:spacing w:after="120" w:before="0"/>
      </w:pPr>
      <w:r>
        <w:rPr>
          <w:b w:val="0"/>
          <w:i w:val="0"/>
        </w:rPr>
        <w:t>Relative to supervised networks, the detector is 0.06 to 0.07 AUC lower on EBSSA. We regard this as the price of not requiring labels rather than a deficiency to be hidden: the networks were trained on annotated recordings from the same sensors and would need new annotations for a new sensor or observing mode. The released AEDNet model, trained for another sensor and noise distribution, reached 0.686 on EBSSA against 0.783 for the untuned proposal and 0.847 on DND21 against 0.755, on the same events in each case. It thus went both ways: below the untuned proposal on the sparse sky recordings of EBSSA, far from the scenes it was trained on, and above it on the DND21 mixtures, whose background-activity noise is of the kind it was trained on. The two transfers are consistent with a fixed supervised model carrying its training distribution with it; the label-free detector was ahead only where the stream resembled the sparse regime it assumes. What the proposal retains in both cases is the calibrated operating point and the transferable window, which the network does not offer. The cost argument for the cascade applies when the confirmation stage is expensive, such as one of these networks, or when the screened stream must leave the sensor; the argument from the data is that the proposal supplies, without labels, the parameter the confirmation stage otherwise needs labels to find. The cost comparison is also one-sided in favour of the comparators, since the labelled recordings and grid search they needed before inference are not charged to them.</w:t>
      </w:r>
    </w:p>
    <w:p>
      <w:pPr>
        <w:spacing w:after="120" w:before="0"/>
      </w:pPr>
      <w:r>
        <w:rPr>
          <w:b w:val="0"/>
          <w:i w:val="0"/>
        </w:rPr>
        <w:t>Several limitations bound these conclusions. First, the EBSSA ground truth is a 10 x 10-pixel box around a tracked position over 10 ms, which compresses the AUC of every method and may affect them unequally; the DND21 labels are exact, but the signal fraction of the mixtures spans two orders of magnitude by construction, the mixtures are synthetic combinations of two real recordings with only 4 scenes (two simulator-rendered), so the leave-one-scene-out folds are few and the strata by scene are descriptive, and in the one real scene residual background activity of the source recording is counted as signal. Second, only three sensor models were available and the constant k was chosen on EBSSA; DND21 shows that the count-based window carries to a DAVIS346 (0.755 untuned against 0.740 with nested selection) but also that the detector itself is not competitive on dense or dwelling scenes, so its domain of use is the sparse-transient regime it was designed for. Third, the homogeneous-Poisson null ignores refractory behaviour and burst noise, so the achieved false-alarm rate is close to but not exactly the requested one, and persistent sources are treated as background only because their pixels acquire a high estimated rate. Fourth, the cost measurements are single-core Python and Numba timings, and the hand-over was tested for one comparator. Fifth, the published comparators were re-implemented from their descriptions, the PFD comparator approximates one stage of the published method, the AEDNet result is a released model scored on event subsets outside its training distribution, and the supervised references are re-implementations trained on the labels available here; the comparator accuracies under cross-validation are upper bounds that an operator without labels could not reach. Finally, the analysis is retrospective and the strata were not pre-specified.</w:t>
      </w:r>
    </w:p>
    <w:p>
      <w:pPr>
        <w:spacing w:after="120" w:before="0"/>
      </w:pPr>
      <w:r>
        <w:rPr>
          <w:b w:val="0"/>
          <w:i w:val="0"/>
        </w:rPr>
        <w:t>The case for the method is strongest when three things hold at once: no labels exist for the sensor or observing condition, the signal occupies few pixels for a short time, and an operating point must be stated in advance as a false-alarm rate. Space surveillance with event cameras is the clearest example; faint moving sources against a static background (meteors, aircraft lights, distant vessels) and the commissioning of a new sensor before any annotation exists are others. There the detector can run on its own or hand its window to an existing filter as a first setting, with label-tuned or supervised alternatives taking over once labels exist. The DND21 result (0.755 against 0.888) marks the other boundary: when the scene is dense, or a source dwells on the same pixels long enough to raise their estimated rate, a scene-appropriate default or a network trained on the same domain will do better, and where labelled data from the same domain exist the supervised gap on EBSSA is the expected cost of not using them.</w:t>
      </w:r>
    </w:p>
    <w:p>
      <w:pPr>
        <w:keepNext/>
        <w:spacing w:before="240" w:after="80"/>
      </w:pPr>
      <w:r>
        <w:rPr>
          <w:rFonts w:ascii="Times New Roman" w:hAnsi="Times New Roman"/>
          <w:b/>
          <w:sz w:val="20"/>
        </w:rPr>
        <w:t>7. Conclusion</w:t>
      </w:r>
    </w:p>
    <w:p>
      <w:pPr>
        <w:spacing w:after="120" w:before="0"/>
      </w:pPr>
      <w:r>
        <w:rPr>
          <w:b w:val="0"/>
          <w:i w:val="0"/>
        </w:rPr>
        <w:t>A per-event Poisson tail test with the background rate of each pixel estimated from its own inter-event intervals is a self-calibrating, unsupervised anomaly detector for sparse event streams. On all 43 labelled EBSSA recordings it was statistically indistinguishable from 3 of the 7 label-tuned heuristic filters, met a stated false-alarm budget without labels, and transferred between sensor models when its window was stated as an expected background count. Its main value is as a source of parameters rather than as a competitor: handed to the density filter YNoise, its window recovered 99.7% of the accuracy that label tuning gives that filter on EBSSA, and a two-stage cascade in which the detector screens and the filter confirms improved on both. On the independent DND21 benchmark, recorded with a third sensor and dominated by dense or dwelling scenes, the detector was clearly outranked by the tuned filters and by YNoise at its published default (0.755 against 0.888), and the hand-over was ahead of the default only on the sparse scenes; the count-based window did transfer. The method is therefore a label-free calibrator for the sparse-transient regime, not a general event denoiser: it sets a first operating point, or the time constant of an existing filter, on a new sensor or observing condition before any annotation exists. On dense or dwelling scenes, or wherever labelled data from the same domain are available, a tuned filter or a supervised network should be preferred.</w:t>
      </w:r>
    </w:p>
    <w:p>
      <w:pPr>
        <w:keepNext/>
        <w:spacing w:before="240" w:after="80"/>
      </w:pPr>
      <w:r>
        <w:rPr>
          <w:rFonts w:ascii="Times New Roman" w:hAnsi="Times New Roman"/>
          <w:b/>
          <w:sz w:val="20"/>
        </w:rPr>
        <w:t>CRediT authorship contribution statement</w:t>
      </w:r>
    </w:p>
    <w:p>
      <w:pPr>
        <w:spacing w:after="120" w:before="0"/>
      </w:pPr>
      <w:r>
        <w:rPr>
          <w:b w:val="0"/>
          <w:i w:val="0"/>
        </w:rPr>
        <w:t>T.O.: Conceptualization, Methodology, Software, Validation, Formal analysis, Writing - original draft, Writing - review and editing.</w:t>
      </w:r>
    </w:p>
    <w:p>
      <w:pPr>
        <w:keepNext/>
        <w:spacing w:before="240" w:after="80"/>
      </w:pPr>
      <w:r>
        <w:rPr>
          <w:rFonts w:ascii="Times New Roman" w:hAnsi="Times New Roman"/>
          <w:b/>
          <w:sz w:val="20"/>
        </w:rPr>
        <w:t>Declaration of competing interest</w:t>
      </w:r>
    </w:p>
    <w:p>
      <w:pPr>
        <w:spacing w:after="120" w:before="0"/>
      </w:pPr>
      <w:r>
        <w:rPr>
          <w:b w:val="0"/>
          <w:i w:val="0"/>
        </w:rPr>
        <w:t>The author declares that he has no known competing financial interests or personal relationships that could have appeared to influence the work reported in this paper.</w:t>
      </w:r>
    </w:p>
    <w:p>
      <w:pPr>
        <w:keepNext/>
        <w:spacing w:before="240" w:after="80"/>
      </w:pPr>
      <w:r>
        <w:rPr>
          <w:rFonts w:ascii="Times New Roman" w:hAnsi="Times New Roman"/>
          <w:b/>
          <w:sz w:val="20"/>
        </w:rPr>
        <w:t>Declaration of generative AI and AI-assisted technologies in the writing process</w:t>
      </w:r>
    </w:p>
    <w:p>
      <w:pPr>
        <w:spacing w:after="120" w:before="0"/>
      </w:pPr>
      <w:r>
        <w:rPr>
          <w:b w:val="0"/>
          <w:i w:val="0"/>
        </w:rPr>
        <w:t>During the preparation of this work the author used an AI coding assistant (Devin, Cognition AI) to write the analysis code, generate the figures from the result files and draft and edit the text under the author's direction. After using this tool, the author reviewed and edited the content as needed and takes full responsibility for the content of the published article.</w:t>
      </w:r>
    </w:p>
    <w:p>
      <w:pPr>
        <w:keepNext/>
        <w:spacing w:before="240" w:after="80"/>
      </w:pPr>
      <w:r>
        <w:rPr>
          <w:rFonts w:ascii="Times New Roman" w:hAnsi="Times New Roman"/>
          <w:b/>
          <w:sz w:val="20"/>
        </w:rPr>
        <w:t>Data availability</w:t>
      </w:r>
    </w:p>
    <w:p>
      <w:pPr>
        <w:spacing w:after="120" w:before="0"/>
      </w:pPr>
      <w:r>
        <w:rPr>
          <w:b w:val="0"/>
          <w:i w:val="0"/>
        </w:rPr>
        <w:t>The EBSSA dataset is publicly available and was accessed through the Tonic library (version 1.6.0), which downloads the labelled split from the authors' repository; the same file is served by the authors' institutional mirror (https://rds.westernsydney.edu.au/Centres/ICNS/Afshar_EBSSA/Labelled%20Data/HDF5_Format/labelled_ebssa-008.h5; SHA-256 50a540354af30fda...). The DND21 recordings are publicly available from the DND21 project page (https://sites.google.com/view/dnd21); the exact files and the mixture protocol are specified in the code. All analysis and manuscript-generation code, the result files (JSON) and a one-command build that regenerates every number, table and figure in this paper from those result files are released at https://github.com/bougtoir/dvs-noise-inverse-pattern-recognition (a mirror of the development repository; its contents and the SHA-256 checksums of the result files are listed in the accompanying REPRODUCIBILITY file). The DND21 analysis re-runs end-to-end from the public recordings. The EBSSA result files were produced by the released code from the Tonic download; at the time of writing the EBSSA host limited re-downloads, so those files are shipped as frozen outputs with their checksums rather than re-derived in the clean-clone check. No additional data were created.</w:t>
      </w:r>
    </w:p>
    <w:p>
      <w:pPr>
        <w:keepNext/>
        <w:spacing w:before="240" w:after="80"/>
      </w:pPr>
      <w:r>
        <w:rPr>
          <w:rFonts w:ascii="Times New Roman" w:hAnsi="Times New Roman"/>
          <w:b/>
          <w:sz w:val="20"/>
        </w:rPr>
        <w:t>Acknowledgements</w:t>
      </w:r>
    </w:p>
    <w:p>
      <w:pPr>
        <w:spacing w:after="120" w:before="0"/>
      </w:pPr>
      <w:r>
        <w:rPr>
          <w:b w:val="0"/>
          <w:i w:val="0"/>
        </w:rPr>
        <w:t>The author thanks the creators of the EBSSA and DND21 datasets for making them publicly available. This research did not receive any specific grant from funding agencies in the public, commercial, or not-for-profit sectors.</w:t>
      </w:r>
    </w:p>
    <w:p>
      <w:pPr>
        <w:keepNext/>
        <w:spacing w:before="240" w:after="80"/>
      </w:pPr>
      <w:r>
        <w:rPr>
          <w:rFonts w:ascii="Times New Roman" w:hAnsi="Times New Roman"/>
          <w:b/>
          <w:sz w:val="20"/>
        </w:rPr>
        <w:t>References</w:t>
      </w:r>
    </w:p>
    <w:p>
      <w:pPr>
        <w:spacing w:after="60" w:line="240" w:lineRule="auto"/>
        <w:ind w:left="432" w:hanging="432"/>
      </w:pPr>
      <w:r>
        <w:rPr>
          <w:sz w:val="20"/>
        </w:rPr>
        <w:t>[1] G. Gallego, T. Delbruck, G. Orchard, et al., Event-based vision: a survey, IEEE Trans. Pattern Anal. Mach. Intell. 44(1), 154-180 (2022).</w:t>
      </w:r>
    </w:p>
    <w:p>
      <w:pPr>
        <w:spacing w:after="60" w:line="240" w:lineRule="auto"/>
        <w:ind w:left="432" w:hanging="432"/>
      </w:pPr>
      <w:r>
        <w:rPr>
          <w:sz w:val="20"/>
        </w:rPr>
        <w:t>[2] P. Lichtsteiner, C. Posch, T. Delbruck, A 128 x 128 120 dB 15 us latency asynchronous temporal contrast vision sensor, IEEE J. Solid-State Circuits 43(2), 566-576 (2008).</w:t>
      </w:r>
    </w:p>
    <w:p>
      <w:pPr>
        <w:spacing w:after="60" w:line="240" w:lineRule="auto"/>
        <w:ind w:left="432" w:hanging="432"/>
      </w:pPr>
      <w:r>
        <w:rPr>
          <w:sz w:val="20"/>
        </w:rPr>
        <w:t>[3] C. Shi, Y. He, W. Li, et al., Modeling multi-segment acceleration for event camera rotation estimation, Pattern Recognit. 179, Art. 113946 (2026).</w:t>
      </w:r>
    </w:p>
    <w:p>
      <w:pPr>
        <w:spacing w:after="60" w:line="240" w:lineRule="auto"/>
        <w:ind w:left="432" w:hanging="432"/>
      </w:pPr>
      <w:r>
        <w:rPr>
          <w:sz w:val="20"/>
        </w:rPr>
        <w:t>[4] S. Guo, T. Delbruck, Low cost and latency event camera background activity denoising, IEEE Trans. Pattern Anal. Mach. Intell. 45(1), 785-795 (2023).</w:t>
      </w:r>
    </w:p>
    <w:p>
      <w:pPr>
        <w:spacing w:after="60" w:line="240" w:lineRule="auto"/>
        <w:ind w:left="432" w:hanging="432"/>
      </w:pPr>
      <w:r>
        <w:rPr>
          <w:sz w:val="20"/>
        </w:rPr>
        <w:t>[5] Y. Nozaki, T. Delbruck, Temperature and parasitic photocurrent effects in dynamic vision sensors, IEEE Trans. Electron Devices 64(8), 3239-3245 (2017).</w:t>
      </w:r>
    </w:p>
    <w:p>
      <w:pPr>
        <w:spacing w:after="60" w:line="240" w:lineRule="auto"/>
        <w:ind w:left="432" w:hanging="432"/>
      </w:pPr>
      <w:r>
        <w:rPr>
          <w:sz w:val="20"/>
        </w:rPr>
        <w:t>[6] G. Cohen, S. Afshar, B. Morreale, et al., Event-based sensing for space situational awareness, J. Astronaut. Sci. 66, 125-141 (2019).</w:t>
      </w:r>
    </w:p>
    <w:p>
      <w:pPr>
        <w:spacing w:after="60" w:line="240" w:lineRule="auto"/>
        <w:ind w:left="432" w:hanging="432"/>
      </w:pPr>
      <w:r>
        <w:rPr>
          <w:sz w:val="20"/>
        </w:rPr>
        <w:t>[7] S. Afshar, A. P. Nicholson, A. van Schaik, G. Cohen, Event-based object detection and tracking for space situational awareness, IEEE Sens. J. 20(24), 15117-15132 (2020).</w:t>
      </w:r>
    </w:p>
    <w:p>
      <w:pPr>
        <w:spacing w:after="60" w:line="240" w:lineRule="auto"/>
        <w:ind w:left="432" w:hanging="432"/>
      </w:pPr>
      <w:r>
        <w:rPr>
          <w:sz w:val="20"/>
        </w:rPr>
        <w:t>[8] N. O. Ralph, A. Marcireau, S. Afshar, et al., Astrometric calibration and source characterisation of the latest generation neuromorphic event-based cameras for space imaging, Astrodynamics 7(4), 415-443 (2023).</w:t>
      </w:r>
    </w:p>
    <w:p>
      <w:pPr>
        <w:spacing w:after="60" w:line="240" w:lineRule="auto"/>
        <w:ind w:left="432" w:hanging="432"/>
      </w:pPr>
      <w:r>
        <w:rPr>
          <w:sz w:val="20"/>
        </w:rPr>
        <w:t>[9] T. Delbruck, Frame-free dynamic digital vision, in Proc. Int. Symp. Secure-Life Electronics, Advanced Electronics for Quality Life and Society, 21-26, University of Tokyo (2008).</w:t>
      </w:r>
    </w:p>
    <w:p>
      <w:pPr>
        <w:spacing w:after="60" w:line="240" w:lineRule="auto"/>
        <w:ind w:left="432" w:hanging="432"/>
      </w:pPr>
      <w:r>
        <w:rPr>
          <w:sz w:val="20"/>
        </w:rPr>
        <w:t>[10] A. Khodamoradi, R. Kastner, O(N)-space spatiotemporal filter for reducing noise in neuromorphic vision sensors, IEEE Trans. Emerg. Top. Comput. 9(1), 15-23 (2021).</w:t>
      </w:r>
    </w:p>
    <w:p>
      <w:pPr>
        <w:spacing w:after="60" w:line="240" w:lineRule="auto"/>
        <w:ind w:left="432" w:hanging="432"/>
      </w:pPr>
      <w:r>
        <w:rPr>
          <w:sz w:val="20"/>
        </w:rPr>
        <w:t>[11] Y. Feng, H. Lv, H. Liu, et al., Event density based denoising method for dynamic vision sensor, Appl. Sci. 10(6), 2024 (2020).</w:t>
      </w:r>
    </w:p>
    <w:p>
      <w:pPr>
        <w:spacing w:after="60" w:line="240" w:lineRule="auto"/>
        <w:ind w:left="432" w:hanging="432"/>
      </w:pPr>
      <w:r>
        <w:rPr>
          <w:sz w:val="20"/>
        </w:rPr>
        <w:t>[12] C. Shi, B. Wei, X. Wang, et al., Polarity-focused denoising for event cameras, IEEE Trans. Circuits Syst. Video Technol. 35(5), 4370-4383 (2025).</w:t>
      </w:r>
    </w:p>
    <w:p>
      <w:pPr>
        <w:spacing w:after="60" w:line="240" w:lineRule="auto"/>
        <w:ind w:left="432" w:hanging="432"/>
      </w:pPr>
      <w:r>
        <w:rPr>
          <w:sz w:val="20"/>
        </w:rPr>
        <w:t>[13] R. W. Baldwin, M. Almatrafi, V. Asari, K. Hirakawa, Event probability mask (EPM) and event denoising convolutional neural network (EDnCNN) for neuromorphic cameras, in Proc. IEEE/CVF Conf. Computer Vision and Pattern Recognition, 1698-1707 (2020).</w:t>
      </w:r>
    </w:p>
    <w:p>
      <w:pPr>
        <w:spacing w:after="60" w:line="240" w:lineRule="auto"/>
        <w:ind w:left="432" w:hanging="432"/>
      </w:pPr>
      <w:r>
        <w:rPr>
          <w:sz w:val="20"/>
        </w:rPr>
        <w:t>[14] H. Fang, J. Wu, L. Li, et al., AEDNet: asynchronous event denoising with spatial-temporal correlation among irregular data, in Proc. 30th ACM Int. Conf. Multimedia, 1427-1435 (2022).</w:t>
      </w:r>
    </w:p>
    <w:p>
      <w:pPr>
        <w:spacing w:after="60" w:line="240" w:lineRule="auto"/>
        <w:ind w:left="432" w:hanging="432"/>
      </w:pPr>
      <w:r>
        <w:rPr>
          <w:sz w:val="20"/>
        </w:rPr>
        <w:t>[15] H. Fang, J. Wu, Q. Hou, W. Dong, G. Shi, Fast window-based event denoising with spatiotemporal correlation enhancement, IEEE Trans. Pattern Anal. Mach. Intell. 47(3), 1381-1394 (2025).</w:t>
      </w:r>
    </w:p>
    <w:p>
      <w:pPr>
        <w:spacing w:after="60" w:line="240" w:lineRule="auto"/>
        <w:ind w:left="432" w:hanging="432"/>
      </w:pPr>
      <w:r>
        <w:rPr>
          <w:sz w:val="20"/>
        </w:rPr>
        <w:t>[16] V. Chandola, A. Banerjee, V. Kumar, Anomaly detection: a survey, ACM Comput. Surv. 41(3), Art. 15, 1-58 (2009).</w:t>
      </w:r>
    </w:p>
    <w:p>
      <w:pPr>
        <w:spacing w:after="60" w:line="240" w:lineRule="auto"/>
        <w:ind w:left="432" w:hanging="432"/>
      </w:pPr>
      <w:r>
        <w:rPr>
          <w:sz w:val="20"/>
        </w:rPr>
        <w:t>[17] M. A. F. Pimentel, D. A. Clifton, L. Clifton, L. Tarassenko, A review of novelty detection, Signal Process. 99, 215-249 (2014).</w:t>
      </w:r>
    </w:p>
    <w:p>
      <w:pPr>
        <w:spacing w:after="60" w:line="240" w:lineRule="auto"/>
        <w:ind w:left="432" w:hanging="432"/>
      </w:pPr>
      <w:r>
        <w:rPr>
          <w:sz w:val="20"/>
        </w:rPr>
        <w:t>[18] L. Ruff, J. R. Kauffmann, R. A. Vandermeulen, et al., A unifying review of deep and shallow anomaly detection, Proc. IEEE 109(5), 756-795 (2021).</w:t>
      </w:r>
    </w:p>
    <w:p>
      <w:pPr>
        <w:spacing w:after="60" w:line="240" w:lineRule="auto"/>
        <w:ind w:left="432" w:hanging="432"/>
      </w:pPr>
      <w:r>
        <w:rPr>
          <w:sz w:val="20"/>
        </w:rPr>
        <w:t>[19] J. Neyman, E. S. Pearson, On the problem of the most efficient tests of statistical hypotheses, Philos. Trans. R. Soc. A 231, 289-337 (1933).</w:t>
      </w:r>
    </w:p>
    <w:p>
      <w:pPr>
        <w:spacing w:after="60" w:line="240" w:lineRule="auto"/>
        <w:ind w:left="432" w:hanging="432"/>
      </w:pPr>
      <w:r>
        <w:rPr>
          <w:sz w:val="20"/>
        </w:rPr>
        <w:t>[20] S. M. Kay, Fundamentals of Statistical Signal Processing, Volume II: Detection Theory, Prentice Hall, Upper Saddle River (1998).</w:t>
      </w:r>
    </w:p>
    <w:p>
      <w:pPr>
        <w:spacing w:after="60" w:line="240" w:lineRule="auto"/>
        <w:ind w:left="432" w:hanging="432"/>
      </w:pPr>
      <w:r>
        <w:rPr>
          <w:sz w:val="20"/>
        </w:rPr>
        <w:t>[21] S. Ding, J. Chen, Y. Wang, et al., E-MLB: multilevel benchmark for event-based camera denoising, IEEE Trans. Multimedia 26, 65-76 (2024).</w:t>
      </w:r>
    </w:p>
    <w:p>
      <w:pPr>
        <w:spacing w:after="60" w:line="240" w:lineRule="auto"/>
        <w:ind w:left="432" w:hanging="432"/>
      </w:pPr>
      <w:r>
        <w:rPr>
          <w:sz w:val="20"/>
        </w:rPr>
        <w:t>[22] K. Doshi, Y. Yilmaz, Online anomaly detection in surveillance videos with asymptotic bound on false alarm rate, Pattern Recognit. 114, Art. 107865 (2021).</w:t>
      </w:r>
    </w:p>
    <w:p>
      <w:pPr>
        <w:spacing w:after="60" w:line="240" w:lineRule="auto"/>
        <w:ind w:left="432" w:hanging="432"/>
      </w:pPr>
      <w:r>
        <w:rPr>
          <w:sz w:val="20"/>
        </w:rPr>
        <w:t>[23] J. F. C. Kingman, Poisson Processes, Oxford University Press, Oxford (1993).</w:t>
      </w:r>
    </w:p>
    <w:p>
      <w:pPr>
        <w:spacing w:after="60" w:line="240" w:lineRule="auto"/>
        <w:ind w:left="432" w:hanging="432"/>
      </w:pPr>
      <w:r>
        <w:rPr>
          <w:sz w:val="20"/>
        </w:rPr>
        <w:t>[24] B.-N. Vo, N. Dam, D. Phung, Q. N. Tran, B.-T. Vo, Model-based learning for point pattern data, Pattern Recognit. 84, 136-151 (2018).</w:t>
      </w:r>
    </w:p>
    <w:p>
      <w:pPr>
        <w:spacing w:after="60" w:line="240" w:lineRule="auto"/>
        <w:ind w:left="432" w:hanging="432"/>
      </w:pPr>
      <w:r>
        <w:rPr>
          <w:sz w:val="20"/>
        </w:rPr>
        <w:t>[25] S. K. Lam, A. Pitrou, S. Seibert, Numba: a LLVM-based Python JIT compiler, in Proc. Second Workshop on the LLVM Compiler Infrastructure in HPC, 1-6 (2015).</w:t>
      </w:r>
    </w:p>
    <w:p>
      <w:pPr>
        <w:spacing w:after="60" w:line="240" w:lineRule="auto"/>
        <w:ind w:left="432" w:hanging="432"/>
      </w:pPr>
      <w:r>
        <w:rPr>
          <w:sz w:val="20"/>
        </w:rPr>
        <w:t>[26] G. Lenz, K. Chaney, S. B. Shrestha, et al., Tonic: event-based datasets and transformations, Zenodo, doi:10.5281/zenodo.5079802 (2021).</w:t>
      </w:r>
    </w:p>
    <w:p>
      <w:pPr>
        <w:spacing w:after="60" w:line="240" w:lineRule="auto"/>
        <w:ind w:left="432" w:hanging="432"/>
      </w:pPr>
      <w:r>
        <w:rPr>
          <w:sz w:val="20"/>
        </w:rPr>
        <w:t>[27] Y. Hu, S.-C. Liu, T. Delbruck, v2e: from video frames to realistic DVS events, in Proc. IEEE/CVF Conf. Computer Vision and Pattern Recognition Workshops, 1312-1321 (2021).</w:t>
      </w:r>
    </w:p>
    <w:p>
      <w:pPr>
        <w:spacing w:after="60" w:line="240" w:lineRule="auto"/>
        <w:ind w:left="432" w:hanging="432"/>
      </w:pPr>
      <w:r>
        <w:rPr>
          <w:sz w:val="20"/>
        </w:rPr>
        <w:t>[28] H. Liu, C. Brandli, C. Li, S.-C. Liu, T. Delbruck, Design of a spatiotemporal correlation filter for event-based sensors, in Proc. IEEE Int. Symp. Circuits and Systems, 722-725 (2015).</w:t>
      </w:r>
    </w:p>
    <w:p>
      <w:pPr>
        <w:spacing w:after="60" w:line="240" w:lineRule="auto"/>
        <w:ind w:left="432" w:hanging="432"/>
      </w:pPr>
      <w:r>
        <w:rPr>
          <w:sz w:val="20"/>
        </w:rPr>
        <w:t>[29] U. Fano, Ionization yield of radiations. II. The fluctuations of the number of ions, Phys. Rev. 72(1), 26-29 (1947).</w:t>
      </w:r>
    </w:p>
    <w:p>
      <w:pPr>
        <w:spacing w:after="60" w:line="240" w:lineRule="auto"/>
        <w:ind w:left="432" w:hanging="432"/>
      </w:pPr>
      <w:r>
        <w:rPr>
          <w:sz w:val="20"/>
        </w:rPr>
        <w:t>[30] R. A. Fisher, Statistical Methods for Research Workers, Oliver and Boyd, Edinburgh (1925).</w:t>
      </w:r>
    </w:p>
    <w:p>
      <w:pPr>
        <w:spacing w:after="60" w:line="240" w:lineRule="auto"/>
        <w:ind w:left="432" w:hanging="432"/>
      </w:pPr>
      <w:r>
        <w:rPr>
          <w:sz w:val="20"/>
        </w:rPr>
        <w:t>[31] J. A. Hanley, B. J. McNeil, The meaning and use of the area under a receiver operating characteristic (ROC) curve, Radiology 143(1), 29-36 (1982).</w:t>
      </w:r>
    </w:p>
    <w:p>
      <w:pPr>
        <w:spacing w:after="60" w:line="240" w:lineRule="auto"/>
        <w:ind w:left="432" w:hanging="432"/>
      </w:pPr>
      <w:r>
        <w:rPr>
          <w:sz w:val="20"/>
        </w:rPr>
        <w:t>[32] F. Wilcoxon, Individual comparisons by ranking methods, Biometrics Bull. 1(6), 80-83 (1945).</w:t>
      </w:r>
    </w:p>
    <w:p>
      <w:pPr>
        <w:spacing w:after="60" w:line="240" w:lineRule="auto"/>
        <w:ind w:left="432" w:hanging="432"/>
      </w:pPr>
      <w:r>
        <w:rPr>
          <w:sz w:val="20"/>
        </w:rPr>
        <w:t>[33] S. Holm, A simple sequentially rejective multiple test procedure, Scand. J. Stat. 6(2), 65-70 (1979).</w:t>
      </w:r>
    </w:p>
    <w:p>
      <w:pPr>
        <w:spacing w:after="60" w:line="240" w:lineRule="auto"/>
        <w:ind w:left="432" w:hanging="432"/>
      </w:pPr>
      <w:r>
        <w:rPr>
          <w:sz w:val="20"/>
        </w:rPr>
        <w:t>[34] B. Efron, R. J. Tibshirani, An Introduction to the Bootstrap, Chapman &amp; Hall, New York (1993).</w:t>
      </w:r>
    </w:p>
    <w:p>
      <w:pPr>
        <w:spacing w:after="60" w:line="240" w:lineRule="auto"/>
        <w:ind w:left="432" w:hanging="432"/>
      </w:pPr>
      <w:r>
        <w:rPr>
          <w:sz w:val="20"/>
        </w:rPr>
        <w:t>[35] D. S. Kerby, The simple difference formula: an approach to teaching nonparametric correlation, Compr. Psychol. 3, Art. 11.IT.3.1 (2014).</w:t>
      </w:r>
    </w:p>
    <w:p>
      <w:pPr>
        <w:spacing w:after="60" w:line="240" w:lineRule="auto"/>
        <w:ind w:left="432" w:hanging="432"/>
      </w:pPr>
      <w:r>
        <w:rPr>
          <w:sz w:val="20"/>
        </w:rPr>
        <w:t>[36] D. K. McClish, Analyzing a portion of the ROC curve, Med. Decis. Making 9(3), 190-195 (1989).</w:t>
      </w:r>
    </w:p>
    <w:p>
      <w:pPr>
        <w:spacing w:after="60" w:line="240" w:lineRule="auto"/>
        <w:ind w:left="432" w:hanging="432"/>
      </w:pPr>
      <w:r>
        <w:rPr>
          <w:sz w:val="20"/>
        </w:rPr>
        <w:t>[37] F. Pedregosa, G. Varoquaux, A. Gramfort, et al., Scikit-learn: machine learning in Python, J. Mach. Learn. Res. 12, 2825-2830 (2011).</w:t>
      </w:r>
    </w:p>
    <w:sectPr w:rsidR="00FC693F" w:rsidRPr="0006063C" w:rsidSect="00034616">
      <w:pgSz w:w="11906" w:h="16838"/>
      <w:pgMar w:top="2438" w:right="2721" w:bottom="2438" w:left="2721"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