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Onishi Tatsuki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Data Science and AI Innovation Research Promotion Center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Shiga University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1-1-1, Bamba, Hikone, Shiga, 522-8522 Japan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Telephone: +81-749-27-1023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E-mail: bougtoir@gmail.com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ORCID: 0000-0001-7261-9062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5 September 2026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The Editor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/>
          <w:sz w:val="20"/>
        </w:rPr>
        <w:t>Economic Analysis and Policy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Dear Editor,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I am pleased to submit for your consideration the enclosed manuscript, </w:t>
      </w:r>
      <w:r>
        <w:rPr>
          <w:rFonts w:ascii="Times New Roman" w:hAnsi="Times New Roman" w:eastAsia="MS Mincho"/>
          <w:b/>
          <w:i w:val="0"/>
          <w:sz w:val="20"/>
        </w:rPr>
        <w:t>"The Solow Residual as a Measurement Artefact: Investment Gestation Lags, Intangible Capital, and Macroeconomic Policy"</w:t>
      </w:r>
      <w:r>
        <w:rPr>
          <w:rFonts w:ascii="Times New Roman" w:hAnsi="Times New Roman" w:eastAsia="MS Mincho"/>
          <w:b w:val="0"/>
          <w:i w:val="0"/>
          <w:sz w:val="20"/>
        </w:rPr>
        <w:t xml:space="preserve">, for publication in </w:t>
      </w:r>
      <w:r>
        <w:rPr>
          <w:rFonts w:ascii="Times New Roman" w:hAnsi="Times New Roman" w:eastAsia="MS Mincho"/>
          <w:b w:val="0"/>
          <w:i/>
          <w:sz w:val="20"/>
        </w:rPr>
        <w:t>Economic Analysis and Policy</w:t>
      </w:r>
      <w:r>
        <w:rPr>
          <w:rFonts w:ascii="Times New Roman" w:hAnsi="Times New Roman" w:eastAsia="MS Mincho"/>
          <w:b w:val="0"/>
          <w:i w:val="0"/>
          <w:sz w:val="20"/>
        </w:rPr>
        <w:t>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The paper argues that a measurable share of what is labelled total factor productivity is neither technology nor innovation, but a bookkeeping artefact produced by two conventions standard growth accounting imposes at zero: the gestation lag between investment and output is treated as constant and negligible, and produced capital omits intangible investment. Using OECD and middle-income data, correcting for these two factors reconciles production-side and wealth-side national accounts to within 1–2 % for most countries, raises measured TFP by about 1.7 percentage points, raises the implied labour share by 1.7 percentage points, and raises produced capital by up to 1.1 % (total wealth by up to 0.3 %) in research-intensive economies. The results are largest where investment has shifted toward long-gestation intangible assets. These are measurement consequences with direct implications for fiscal-policy rules, monetary-policy transmission, and cross-country GDP comparability, rather than forecasting exercises.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I believe this work is well-suited to </w:t>
      </w:r>
      <w:r>
        <w:rPr>
          <w:rFonts w:ascii="Times New Roman" w:hAnsi="Times New Roman" w:eastAsia="MS Mincho"/>
          <w:b w:val="0"/>
          <w:i/>
          <w:sz w:val="20"/>
        </w:rPr>
        <w:t>Economic Analysis and Policy</w:t>
      </w:r>
      <w:r>
        <w:rPr>
          <w:rFonts w:ascii="Times New Roman" w:hAnsi="Times New Roman" w:eastAsia="MS Mincho"/>
          <w:b w:val="0"/>
          <w:i w:val="0"/>
          <w:sz w:val="20"/>
        </w:rPr>
        <w:t xml:space="preserve"> for three reasons, and I would suggest submission under either the journal's "Modelling Economic Policy Issues" or "Analyses of Topical Policy Issues" category.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First, the journal's stated focus is on research with strong policy relevance, and the paper's central finding is precisely that: standard TFP measures contain a structural tempo bias that misdirects potential-output estimates, output-gap calculations, and the calibration of fiscal and monetary policy responses. Removing the bias reallocates a median 1.7 percentage points of log-level TFP and changes the implied labour share by a comparable amount.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Second, the analysis provides new empirical tools for applied macroeconomic policy. The "Relational PIM" diagnostic adapts Brass relational methods to capital accounting, and the demographic tempo-and-quantum correspondence is used to construct an observable, parameter-free proxy for the time-varying investment-to-output lag. Both tools are designed to be reused across countries, vintages, and asset classifications.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 xml:space="preserve">Third, the corrections are disciplined by a wealth-accounting identity, not only by production-side residuals. Reconciling flow-side and stock-side capital accounts to within 1–2 % after correcting the lag and intangible share provides an external validity check, and the Supporting Information reports an expanded set of robustness checks: Monte Carlo identification sharpness calibrated to four countries (United States, Republic of Korea, France and Colombia), a leave-one-out robustness check for historical episodes, a cross-country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γ</m:t>
                </m:r>
              </m:e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MS Mincho"/>
          <w:b w:val="0"/>
          <w:i w:val="0"/>
          <w:sz w:val="20"/>
        </w:rPr>
        <w:t xml:space="preserve"> sensitivity summary, a 1.5×–3.0× R&amp;D scaling sensitivity for intangible capital, and cluster-validation metrics. The manuscript also now opens with a short, non-technical policy hook that explains why the measurement issue matters for fiscal and monetary policy.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I confirm the following:</w:t>
      </w:r>
    </w:p>
    <w:p>
      <w:pPr>
        <w:spacing w:after="0" w:before="0" w:line="360" w:lineRule="auto"/>
      </w:pP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This work is original and has not been published elsewhere.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The manuscript is not under consideration by any other journal.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All data sources (Penn World Table 10.01; World Bank CWON; World Bank WDI; OECD GFCF) are publicly available; frozen extracts, code, and intermediate outputs are archived in the companion repository at https://github.com/bougtoir/gdp-tempo-paper.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am the sole author.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have no competing interests, financial or otherwise, related to this work.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>•  I used generative AI to assist with formatting the text, choosing words, and writing analysis code; this is documented in the Declarations section of the title page.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A title page with full author details and a Declarations section is included as a separate file for the double-anonymized review process.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I would be grateful for your consideration.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Yours sincerely,</w:t>
      </w:r>
    </w:p>
    <w:p>
      <w:pPr>
        <w:spacing w:after="0" w:before="0" w:line="360" w:lineRule="auto"/>
      </w:pP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Onishi Tatsuki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Data Science and AI Innovation Research Promotion Center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Shiga University</w:t>
      </w:r>
    </w:p>
    <w:p>
      <w:pPr>
        <w:spacing w:after="40" w:line="360" w:lineRule="auto"/>
      </w:pPr>
      <w:r>
        <w:rPr>
          <w:rFonts w:ascii="Times New Roman" w:hAnsi="Times New Roman" w:eastAsia="MS Mincho"/>
          <w:b w:val="0"/>
          <w:i w:val="0"/>
          <w:sz w:val="20"/>
        </w:rPr>
        <w:t>bougtoir@gmail.com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