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</w:pPr>
      <w:r>
        <w:rPr>
          <w:rFonts w:ascii="Times New Roman" w:hAnsi="Times New Roman" w:eastAsia="MS Mincho"/>
          <w:b/>
          <w:i w:val="0"/>
          <w:sz w:val="24"/>
        </w:rPr>
        <w:t>Highlights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A measurable share of the Solow residual is a measurement artefact, not technology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Correcting lags and omitted intangibles reconciles flow- and wealth-side accounts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An OECD asset-composition proxy validates the lag without free parameters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Adjustments are largest in research-intensive, long-gestation economies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Policy implication: the correction affects potential-output and policy calibration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