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left"/>
      </w:pPr>
      <w:r>
        <w:rPr>
          <w:rFonts w:ascii="Times New Roman" w:hAnsi="Times New Roman" w:eastAsia="MS Mincho"/>
          <w:b/>
          <w:i w:val="0"/>
          <w:sz w:val="24"/>
        </w:rPr>
        <w:t>Table 11. Time-varying depreciation robustness: median estimated lag across countries.</w:t>
      </w:r>
    </w:p>
    <w:tbl>
      <w:tblPr>
        <w:tblW w:type="auto" w:w="0"/>
        <w:tblStyle w:val="TableNormal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500" w:hRule="atLeast"/>
        </w:trPr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scenario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n_countries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median_mu_M1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mean_mu_M1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median_mu0_M2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median_mu1_M2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median_TestB_M2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baseline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1.565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3.065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cyclical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1.552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3.058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post2000_high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1.591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3.056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post2000_low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1.539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3.076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trend_down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1.552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3.069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trend_up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1.578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3.062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