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left"/>
      </w:pPr>
      <w:r>
        <w:rPr>
          <w:rFonts w:ascii="Times New Roman" w:hAnsi="Times New Roman" w:eastAsia="MS Mincho"/>
          <w:b/>
          <w:i w:val="0"/>
          <w:sz w:val="24"/>
        </w:rPr>
        <w:t>Table 6. Tempo-artifact share of TFP-growth variance.</w:t>
      </w:r>
    </w:p>
    <w:tbl>
      <w:tblPr>
        <w:tblW w:type="auto" w:w="0"/>
        <w:tblStyle w:val="TableNormal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00" w:hRule="atLeast"/>
        </w:trP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Country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ISO3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mu1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beta_j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Var(dTFP) M0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Var(dTFP) M2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Tempo share %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Joint share %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Cum TFP M0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Cum TFP M4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Australia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5.16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4.71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0.599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0.355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Austria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AUT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0.0399999999999999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4.92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4.89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1.016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Belgium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0.0399999999999999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3.32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3.26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0.911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0.745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Canada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3.33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3.27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0.589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0.788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Chile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CHL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19.66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19.33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0.487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China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CHN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32.77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31.34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-0.609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4.27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0.191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0.336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Costa Rica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CRI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12.83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12.84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0.664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Czech Republic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CZE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11.69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10.56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0.412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0.423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Denmark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DNK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3.95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3.82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0.884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0.895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Estonia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EST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36.52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34.29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0.389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Finland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6.17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5.93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0.904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0.904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3.86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3.86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29.7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1.187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0.685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Germany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DEU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3.37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3.37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-53.3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1.133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1.204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Greece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GRC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16.92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16.88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0.797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0.268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Hungary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9.11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9.11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0.484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0.148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Iceland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ISL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13.68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13.38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0.863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0.917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Ireland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IRL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11.45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11.26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1.076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1.076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Israel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ISR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17.15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17.02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1.063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1.124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Italy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6.49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6.49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0.669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0.175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Japan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JPN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5.52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5.53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1.029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1.029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Latvia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LVA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93.27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90.35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0.27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Lithuania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LTU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54.26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51.29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Luxembourg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11.09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-0.106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0.285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Mexico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0.0399999999999999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11.85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11.86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-8.7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0.216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Netherlands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NLD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0.0399999999999999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0.534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New Zealand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NZL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11.86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10.23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-0.001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Norway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0.324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Poland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POL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16.12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16.12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0.271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0.271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Portugal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11.23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11.23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0.815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1.143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KOR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8.16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7.96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1.439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1.496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Slovakia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SVK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0.0399999999999999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16.07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14.45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0.546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0.547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Slovenia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SVN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9.58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0.511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0.513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Spain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ESP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12.03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12.03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1.107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1.171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Sweden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0.718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0.733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Switzerland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3.53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3.51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0.606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0.616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Turkey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TUR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29.84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29.23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0.237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Kingdom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GBR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0.425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0.443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USA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-16.0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0.637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0.659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