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/ main tables (editable)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IQR / detail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Apparent HG, LOYO no demean</w:t>
            </w:r>
          </w:p>
        </w:tc>
        <w:tc>
          <w:tcPr>
            <w:tcW w:type="dxa" w:w="2160"/>
          </w:tcPr>
          <w:p>
            <w:r>
              <w:t>0.299</w:t>
            </w:r>
          </w:p>
        </w:tc>
        <w:tc>
          <w:tcPr>
            <w:tcW w:type="dxa" w:w="2160"/>
          </w:tcPr>
          <w:p>
            <w:r>
              <w:t>0.194–0.390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HG, LOYO demean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0.014–0.042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HG, forward no demean</w:t>
            </w:r>
          </w:p>
        </w:tc>
        <w:tc>
          <w:tcPr>
            <w:tcW w:type="dxa" w:w="2160"/>
          </w:tcPr>
          <w:p>
            <w:r>
              <w:t>0.315</w:t>
            </w:r>
          </w:p>
        </w:tc>
        <w:tc>
          <w:tcPr>
            <w:tcW w:type="dxa" w:w="2160"/>
          </w:tcPr>
          <w:p>
            <w:r>
              <w:t>0.204–0.407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Prospective HG_D, forward demean</w:t>
            </w:r>
          </w:p>
        </w:tc>
        <w:tc>
          <w:tcPr>
            <w:tcW w:type="dxa" w:w="2160"/>
          </w:tcPr>
          <w:p>
            <w:r>
              <w:t>0.0059</w:t>
            </w:r>
          </w:p>
        </w:tc>
        <w:tc>
          <w:tcPr>
            <w:tcW w:type="dxa" w:w="2160"/>
          </w:tcPr>
          <w:p>
            <w:r>
              <w:t>0.0003–0.0139; P&gt;0 0.77, CI&gt;0 0.34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Occupancy prior-state contrast (matched env)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all species exactly 0.000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Abundance prior-state effect (log-count)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0.39–0.80; CI&gt;0 40/41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Regional (state-level) HG</w:t>
            </w:r>
          </w:p>
        </w:tc>
        <w:tc>
          <w:tcPr>
            <w:tcW w:type="dxa" w:w="2160"/>
          </w:tcPr>
          <w:p>
            <w:r>
              <w:t>-0.043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111</w:t>
            </w:r>
          </w:p>
        </w:tc>
      </w:tr>
      <w:tr>
        <w:tc>
          <w:tcPr>
            <w:tcW w:type="dxa" w:w="2160"/>
          </w:tcPr>
          <w:p>
            <w:r>
              <w:t>Observed anomaly redistribution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env-pred 0.308, hist-pred 0.264</w:t>
            </w:r>
          </w:p>
        </w:tc>
        <w:tc>
          <w:tcPr>
            <w:tcW w:type="dxa" w:w="2160"/>
          </w:tcPr>
          <w:p>
            <w:r>
              <w:t>5 events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