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Supplementary material</w:t>
      </w:r>
    </w:p>
    <w:p>
      <w:pPr>
        <w:pStyle w:val="Heading2"/>
      </w:pPr>
      <w:r>
        <w:rPr>
          <w:rFonts w:ascii="Times New Roman" w:hAnsi="Times New Roman"/>
          <w:color w:val="000000"/>
        </w:rPr>
        <w:t>Supplementary Note 1. Detailed statistical methods</w:t>
      </w:r>
    </w:p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4"/>
        </w:rPr>
        <w:t>This note records the full model specification, equivalence-testing rationale, and power diagnostics summarised in the main text. It also describes the heterogeneity and trend-stability checks reported in Supplementary Table 9.</w:t>
      </w:r>
    </w:p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4"/>
        </w:rPr>
        <w:t>Primary estimating equation. Let s index specialty, t index the biennial wave, and Y be the count of physicians or hospitals. The baseline model is</w:t>
      </w:r>
    </w:p>
    <w:p>
      <w:pPr>
        <w:jc w:val="center"/>
      </w:pPr>
      <m:oMath xmlns:mml="http://www.w3.org/1998/Math/MathML">
        <m:r>
          <m:t>Δ</m:t>
        </m:r>
        <m:r>
          <m:rPr>
            <m:sty m:val="p"/>
          </m:rPr>
          <m:t>log</m:t>
        </m:r>
        <m:r>
          <m:t>(</m:t>
        </m:r>
        <m:sSub>
          <m:e>
            <m:r>
              <m:t>Y</m:t>
            </m:r>
          </m:e>
          <m:sub>
            <m:r>
              <m:t>st</m:t>
            </m:r>
          </m:sub>
        </m:sSub>
        <m:r>
          <m:t>)=</m:t>
        </m:r>
        <m:sSub>
          <m:e>
            <m:r>
              <m:t>α</m:t>
            </m:r>
          </m:e>
          <m:sub>
            <m:r>
              <m:t>s</m:t>
            </m:r>
          </m:sub>
        </m:sSub>
        <m:r>
          <m:t>+</m:t>
        </m:r>
        <m:sSub>
          <m:e>
            <m:r>
              <m:t>δ</m:t>
            </m:r>
          </m:e>
          <m:sub>
            <m:r>
              <m:t>t</m:t>
            </m:r>
          </m:sub>
        </m:sSub>
        <m:r>
          <m:t>+β·</m:t>
        </m:r>
        <m:sSub>
          <m:e>
            <m:r>
              <m:rPr>
                <m:nor/>
              </m:rPr>
              <m:t>litrate</m:t>
            </m:r>
          </m:e>
          <m:sub>
            <m:r>
              <m:t>s,t−1</m:t>
            </m:r>
          </m:sub>
        </m:sSub>
        <m:r>
          <m:t>+γ·</m:t>
        </m:r>
        <m:sSub>
          <m:e>
            <m:r>
              <m:rPr>
                <m:nor/>
              </m:rPr>
              <m:t>JOCS-CP</m:t>
            </m:r>
          </m:e>
          <m:sub>
            <m:r>
              <m:t>s,t−1</m:t>
            </m:r>
          </m:sub>
        </m:sSub>
        <m:r>
          <m:t>+</m:t>
        </m:r>
        <m:sSub>
          <m:e>
            <m:r>
              <m:t>ϵ</m:t>
            </m:r>
          </m:e>
          <m:sub>
            <m:r>
              <m:t>st</m:t>
            </m:r>
          </m:sub>
        </m:sSub>
      </m:oMath>
    </w:p>
    <w:p>
      <w:pPr>
        <w:spacing w:line="480" w:lineRule="auto" w:after="120"/>
      </w:pPr>
      <w:r>
        <w:rPr>
          <w:rFonts w:ascii="Times New Roman" w:hAnsi="Times New Roman"/>
          <w:i w:val="0"/>
          <w:sz w:val="24"/>
        </w:rPr>
        <w:t xml:space="preserve">where </w:t>
      </w:r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i w:val="0"/>
          <w:sz w:val="24"/>
        </w:rPr>
        <w:t xml:space="preserve"> is either physicians or hospitals, </w:t>
      </w:r>
      <m:oMath xmlns:mml="http://www.w3.org/1998/Math/MathML">
        <m:sSub>
          <m:e>
            <m:r>
              <m:t>α</m:t>
            </m:r>
          </m:e>
          <m:sub>
            <m:r>
              <m:t>s</m:t>
            </m:r>
          </m:sub>
        </m:sSub>
      </m:oMath>
      <w:r>
        <w:rPr>
          <w:rFonts w:ascii="Times New Roman" w:hAnsi="Times New Roman"/>
          <w:i w:val="0"/>
          <w:sz w:val="24"/>
        </w:rPr>
        <w:t xml:space="preserve"> are specialty fixed effects, </w:t>
      </w:r>
      <m:oMath xmlns:mml="http://www.w3.org/1998/Math/MathML">
        <m:sSub>
          <m:e>
            <m:r>
              <m:t>δ</m:t>
            </m:r>
          </m:e>
          <m:sub>
            <m:r>
              <m:t>t</m:t>
            </m:r>
          </m:sub>
        </m:sSub>
      </m:oMath>
      <w:r>
        <w:rPr>
          <w:rFonts w:ascii="Times New Roman" w:hAnsi="Times New Roman"/>
          <w:i w:val="0"/>
          <w:sz w:val="24"/>
        </w:rPr>
        <w:t xml:space="preserve"> are wave fixed effects, </w:t>
      </w:r>
      <w:r>
        <w:rPr>
          <w:rFonts w:ascii="Times New Roman" w:hAnsi="Times New Roman"/>
          <w:i/>
          <w:sz w:val="24"/>
        </w:rPr>
        <w:t>litrate</w:t>
      </w:r>
      <w:r>
        <w:rPr>
          <w:rFonts w:ascii="Times New Roman" w:hAnsi="Times New Roman"/>
          <w:i w:val="0"/>
          <w:sz w:val="24"/>
        </w:rPr>
        <w:t xml:space="preserve"> is closed malpractice claims per 1,000 physicians, and </w:t>
      </w:r>
      <w:r>
        <w:rPr>
          <w:rFonts w:ascii="Times New Roman" w:hAnsi="Times New Roman"/>
          <w:i/>
          <w:sz w:val="24"/>
        </w:rPr>
        <w:t>JOCS-CP</w:t>
      </w:r>
      <w:r>
        <w:rPr>
          <w:rFonts w:ascii="Times New Roman" w:hAnsi="Times New Roman"/>
          <w:i w:val="0"/>
          <w:sz w:val="24"/>
        </w:rPr>
        <w:t xml:space="preserve"> is an obstetrics-and-gynaecology-specific indicator from 2009 onward. Standard errors are clustered by specialty and inference uses a t-distribution with </w:t>
      </w:r>
      <w:r>
        <w:rPr>
          <w:rFonts w:ascii="Times New Roman" w:hAnsi="Times New Roman"/>
          <w:i/>
          <w:sz w:val="24"/>
        </w:rPr>
        <w:t>G-1</w:t>
      </w:r>
      <w:r>
        <w:rPr>
          <w:rFonts w:ascii="Times New Roman" w:hAnsi="Times New Roman"/>
          <w:i w:val="0"/>
          <w:sz w:val="24"/>
        </w:rPr>
        <w:t xml:space="preserve"> degrees of freedom, where </w:t>
      </w:r>
      <w:r>
        <w:rPr>
          <w:rFonts w:ascii="Times New Roman" w:hAnsi="Times New Roman"/>
          <w:i/>
          <w:sz w:val="24"/>
        </w:rPr>
        <w:t>G=12</w:t>
      </w:r>
      <w:r>
        <w:rPr>
          <w:rFonts w:ascii="Times New Roman" w:hAnsi="Times New Roman"/>
          <w:i w:val="0"/>
          <w:sz w:val="24"/>
        </w:rPr>
        <w:t>.</w:t>
      </w:r>
    </w:p>
    <w:p>
      <w:pPr>
        <w:spacing w:line="480" w:lineRule="auto" w:after="120"/>
      </w:pPr>
      <w:r>
        <w:rPr>
          <w:rFonts w:ascii="Times New Roman" w:hAnsi="Times New Roman"/>
          <w:sz w:val="24"/>
        </w:rPr>
        <w:t xml:space="preserve">Equivalence testing. Two one-sided tests (TOST) evaluate whether the per-SD litigation-rate coefficient </w:t>
      </w:r>
      <m:oMath xmlns:mml="http://www.w3.org/1998/Math/MathML">
        <m:r>
          <m:t>β</m:t>
        </m:r>
      </m:oMath>
      <w:r>
        <w:rPr>
          <w:rFonts w:ascii="Times New Roman" w:hAnsi="Times New Roman"/>
          <w:sz w:val="24"/>
        </w:rPr>
        <w:t xml:space="preserve"> lies inside a pre-specified symmetric margin </w:t>
      </w: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sz w:val="24"/>
        </w:rPr>
        <w:t>. The null hypotheses are</w:t>
      </w:r>
    </w:p>
    <w:p>
      <w:pPr>
        <w:jc w:val="center"/>
      </w:pPr>
      <m:oMath xmlns:mml="http://www.w3.org/1998/Math/MathML">
        <m:sSub>
          <m:e>
            <m:r>
              <m:t>H</m:t>
            </m:r>
          </m:e>
          <m:sub>
            <m:r>
              <m:t>0</m:t>
            </m:r>
          </m:sub>
        </m:sSub>
        <m:r>
          <m:t>:β≤−m</m:t>
        </m:r>
        <m:r>
          <m:rPr>
            <m:nor/>
          </m:rPr>
          <m:t>and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t>:β≥+m</m:t>
        </m:r>
      </m:oMath>
    </w:p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4"/>
        </w:rPr>
        <w:t>Equivalence is declared when both one-sided tests yield p &lt; 0.05. Margins of 1% and 2% biennial workforce change were chosen because they are smaller than typical policy targets for specialty rebalancing.</w:t>
      </w:r>
    </w:p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4"/>
        </w:rPr>
        <w:t>Power diagnostics. The minimum detectable effect (MDE) at 80% power for the per-SD coefficient is given by the following expressions, where F_t denotes the cumulative distribution function of the t(df) distribution.</w:t>
      </w:r>
    </w:p>
    <w:p>
      <w:pPr>
        <w:jc w:val="center"/>
      </w:pPr>
      <m:oMath xmlns:mml="http://www.w3.org/1998/Math/MathML">
        <m:r>
          <m:rPr>
            <m:nor/>
          </m:rPr>
          <m:t>MDE</m:t>
        </m:r>
        <m:r>
          <m:t>=(</m:t>
        </m:r>
        <m:sSub>
          <m:e>
            <m:r>
              <m:t>t</m:t>
            </m:r>
          </m:e>
          <m:sub>
            <m:r>
              <m:t>0.975,df</m:t>
            </m:r>
          </m:sub>
        </m:sSub>
        <m:r>
          <m:t>+</m:t>
        </m:r>
        <m:sSub>
          <m:e>
            <m:r>
              <m:t>t</m:t>
            </m:r>
          </m:e>
          <m:sub>
            <m:r>
              <m:t>0.80,df</m:t>
            </m:r>
          </m:sub>
        </m:sSub>
        <m:r>
          <m:t>)×</m:t>
        </m:r>
        <m:r>
          <m:rPr>
            <m:nor/>
          </m:rPr>
          <m:t>SE</m:t>
        </m:r>
      </m:oMath>
    </w:p>
    <w:p>
      <w:pPr>
        <w:jc w:val="center"/>
      </w:pPr>
      <m:oMath xmlns:mml="http://www.w3.org/1998/Math/MathML">
        <m:sSub>
          <m:e>
            <m:r>
              <m:rPr>
                <m:nor/>
              </m:rPr>
              <m:t>Power</m:t>
            </m:r>
          </m:e>
          <m:sub>
            <m:r>
              <m:rPr>
                <m:nor/>
              </m:rPr>
              <m:t>equiv</m:t>
            </m:r>
          </m:sub>
        </m:sSub>
        <m:r>
          <m:t>=2·</m:t>
        </m:r>
        <m:sSub>
          <m:e>
            <m:r>
              <m:t>F</m:t>
            </m:r>
          </m:e>
          <m:sub>
            <m:r>
              <m:t>t</m:t>
            </m:r>
          </m:sub>
        </m:sSub>
        <m:r>
          <m:t>(m/</m:t>
        </m:r>
        <m:r>
          <m:rPr>
            <m:nor/>
          </m:rPr>
          <m:t>SE</m:t>
        </m:r>
        <m:r>
          <m:t>)−1</m:t>
        </m:r>
      </m:oMath>
    </w:p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4"/>
        </w:rPr>
        <w:t>These quantities make the limited information in a 12-cluster panel explicit.</w:t>
      </w:r>
    </w:p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4"/>
        </w:rPr>
        <w:t>Heterogeneity and trend stability. To test whether the association differed by baseline litigation risk or surgical orientation, the model was augmented with an interaction between litrate and a binary group indicator:</w:t>
      </w:r>
    </w:p>
    <w:p>
      <w:pPr>
        <w:jc w:val="center"/>
      </w:pPr>
      <m:oMath xmlns:mml="http://www.w3.org/1998/Math/MathML">
        <m:r>
          <m:t>Δ</m:t>
        </m:r>
        <m:r>
          <m:rPr>
            <m:sty m:val="p"/>
          </m:rPr>
          <m:t>log</m:t>
        </m:r>
        <m:r>
          <m:t>(</m:t>
        </m:r>
        <m:sSub>
          <m:e>
            <m:r>
              <m:t>Y</m:t>
            </m:r>
          </m:e>
          <m:sub>
            <m:r>
              <m:t>st</m:t>
            </m:r>
          </m:sub>
        </m:sSub>
        <m:r>
          <m:t>)=</m:t>
        </m:r>
        <m:sSub>
          <m:e>
            <m:r>
              <m:t>α</m:t>
            </m:r>
          </m:e>
          <m:sub>
            <m:r>
              <m:t>s</m:t>
            </m:r>
          </m:sub>
        </m:sSub>
        <m:r>
          <m:t>+</m:t>
        </m:r>
        <m:sSub>
          <m:e>
            <m:r>
              <m:t>δ</m:t>
            </m:r>
          </m:e>
          <m:sub>
            <m:r>
              <m:t>t</m:t>
            </m:r>
          </m:sub>
        </m:sSub>
        <m:r>
          <m:t>+β·</m:t>
        </m:r>
        <m:sSub>
          <m:e>
            <m:r>
              <m:rPr>
                <m:nor/>
              </m:rPr>
              <m:t>litrate</m:t>
            </m:r>
          </m:e>
          <m:sub>
            <m:r>
              <m:t>s,t−1</m:t>
            </m:r>
          </m:sub>
        </m:sSub>
        <m:r>
          <m:t>+</m:t>
        </m:r>
        <m:sSub>
          <m:e>
            <m:r>
              <m:t>δ</m:t>
            </m:r>
          </m:e>
          <m:sub>
            <m:r>
              <m:t>g</m:t>
            </m:r>
          </m:sub>
        </m:sSub>
        <m:r>
          <m:t>·(</m:t>
        </m:r>
        <m:sSub>
          <m:e>
            <m:r>
              <m:rPr>
                <m:nor/>
              </m:rPr>
              <m:t>litrate</m:t>
            </m:r>
          </m:e>
          <m:sub>
            <m:r>
              <m:t>s,t−1</m:t>
            </m:r>
          </m:sub>
        </m:sSub>
        <m:r>
          <m:t>×</m:t>
        </m:r>
        <m:sSub>
          <m:e>
            <m:r>
              <m:rPr>
                <m:nor/>
              </m:rPr>
              <m:t>Group</m:t>
            </m:r>
          </m:e>
          <m:sub>
            <m:r>
              <m:t>s</m:t>
            </m:r>
          </m:sub>
        </m:sSub>
        <m:r>
          <m:t>)+</m:t>
        </m:r>
        <m:sSub>
          <m:e>
            <m:r>
              <m:t>ϵ</m:t>
            </m:r>
          </m:e>
          <m:sub>
            <m:r>
              <m:t>st</m:t>
            </m:r>
          </m:sub>
        </m:sSub>
      </m:oMath>
    </w:p>
    <w:p>
      <w:pPr>
        <w:spacing w:line="480" w:lineRule="auto" w:after="120"/>
      </w:pPr>
      <m:oMath xmlns:mml="http://www.w3.org/1998/Math/MathML">
        <m:sSub>
          <m:e>
            <m:r>
              <m:rPr>
                <m:nor/>
              </m:rPr>
              <m:t>Group</m:t>
            </m:r>
          </m:e>
          <m:sub>
            <m:r>
              <m:t>s</m:t>
            </m:r>
          </m:sub>
        </m:sSub>
      </m:oMath>
      <w:r>
        <w:rPr>
          <w:rFonts w:ascii="Times New Roman" w:hAnsi="Times New Roman"/>
          <w:sz w:val="24"/>
        </w:rPr>
        <w:t xml:space="preserve"> is either high-litigation (above the median specialty mean lagged litigation rate) or surgical (surgery, orthopaedics, obstetrics and gynaecology, urology). The main effect of </w:t>
      </w:r>
      <m:oMath xmlns:mml="http://www.w3.org/1998/Math/MathML">
        <m:r>
          <m:rPr>
            <m:nor/>
          </m:rPr>
          <m:t>Group</m:t>
        </m:r>
      </m:oMath>
      <w:r>
        <w:rPr>
          <w:rFonts w:ascii="Times New Roman" w:hAnsi="Times New Roman"/>
          <w:sz w:val="24"/>
        </w:rPr>
        <w:t xml:space="preserve"> is absorbed by the specialty fixed effects and is omitted. A separate stability check added specialty-specific linear trends, </w:t>
      </w:r>
      <w:r>
        <w:rPr>
          <w:rFonts w:ascii="Times New Roman" w:hAnsi="Times New Roman"/>
          <w:i/>
          <w:sz w:val="24"/>
        </w:rPr>
        <w:t>C(specialty) x year</w:t>
      </w:r>
      <w:r>
        <w:rPr>
          <w:rFonts w:ascii="Times New Roman" w:hAnsi="Times New Roman"/>
          <w:sz w:val="24"/>
        </w:rPr>
        <w:t>, to the baseline specification.</w:t>
      </w:r>
    </w:p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4"/>
        </w:rPr>
        <w:t>Supplementary Figure 1. Sensitivity-analysis framework for evaluating malpractice-litigation risk as a healthcare workforce-allocation instrument.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89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_Supplementary_Figur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92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4"/>
        </w:rPr>
        <w:t>Supplementary Figure 2. Closed malpractice claims per 1,000 physicians by specialty, 2008-2024 (rates, not counts).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_Supplementary_Figur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4"/>
        </w:rPr>
        <w:t>Supplementary Figure 3. Physician workforce by specialty, indexed to 2008 (=100).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_Supplementary_Figur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1. Primary data sources and their resolution.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Series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Source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Resolution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Years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Role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Physicians by specialty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MHLW Statistics of Physicians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Biennial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2004-2024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Denominator &amp; outcome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Closed malpractice claims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Supreme Court, by specialty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2008-2024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Exposure (numerator)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Hospitals by specialty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MHLW Survey of Medical Institutions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2008-2024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Outcome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Clinics by specialty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MHLW Survey (static)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Every 3 years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2008-2023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Descriptive only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JMSR report counts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JMSR / MAIS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2015-2024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Sensitivity (2016-2024)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Newspaper article counts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Nikkei Telecom 21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2008-2018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Sensitivity (2009-2018)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2. Equivalence (TOST) results (effect per +1 SD litigation rate).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Coef per SD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90% CI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Margin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TOST p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Equivalent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Physician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-0.21%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-0.84%, +0.42%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+/-1%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Physician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-0.21%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-0.84%, +0.42%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+/-2%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&lt;0.001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Hospital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+0.07%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-0.91%, +1.06%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+/-1%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0.059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Hospital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+0.07%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-0.91%, +1.06%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+/-2%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3. JMSR-adjusted annual hospital facility-count growth model (2016-2024) with both exposures entered simultaneously.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Exposure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Coefficient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Lagged litigation rate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+0.0021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0.28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108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Lagged JMSR report rate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-0.0009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0.66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108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4. Media-adjusted annual hospital facility-count growth model (2009-2018) with a linear time trend; full year fixed effects are omitted because the national article-count series is collinear with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Exposure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Coefficient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Lagged litigation rate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-0.0003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Lagged media count (per 1,000 articles)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-0.0014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5. Holm step-down adjusted p-values for the exploratory sensitivity tests and the JOCS-CP indicator.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Test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Raw p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Holm-adjusted p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Biennial physician growth ~ lagged litigation rate (JOCS-CP indicator)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0.249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Biennial hospital growth ~ lagged litigation rate (JOCS-CP indicator)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0.250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COUNTS contrast: physician growth ~ lagged litigation COUNT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0.506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Annual hospital growth ~ lagged litigation rate (2008-2024)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0.994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SENSITIVITY interpolated-annual physician growth ~ lag rate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0.389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JMSR-adjusted annual hospital growth (2016-2024) ~ lit rate + JMSR rate (litigation rate)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0.283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JMSR-adjusted annual hospital growth (2016-2024) ~ lit rate + JMSR rate (JMSR report rate)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0.664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Media-adjusted annual hospital growth (2009-2018) ~ lit rate + media count (litigation rate)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0.718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Media-adjusted annual hospital growth (2009-2018) ~ lit rate + media count (media count)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0.209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Heterogeneity (high-litigation) physician growth ~ lagged litigation rate (main effect)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0.269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Heterogeneity (high-litigation) physician growth ~ lagged litigation rate (interaction)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0.240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Heterogeneity (surgical) physician growth ~ lagged litigation rate (main effect)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0.239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Heterogeneity (surgical) physician growth ~ lagged litigation rate (interaction)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0.391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Heterogeneity (high-litigation) hospital growth ~ lagged litigation rate (main effect)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0.988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Heterogeneity (high-litigation) hospital growth ~ lagged litigation rate (interaction)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0.928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Heterogeneity (surgical) hospital growth ~ lagged litigation rate (main effect)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0.124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Heterogeneity (surgical) hospital growth ~ lagged litigation rate (interaction)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0.064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Trend robustness: physician growth ~ lagged litigation rate + specialty trends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0.728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Trend robustness: hospital growth ~ lagged litigation rate + specialty trends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0.114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6. Cluster block-bootstrap p-values, percentile 95% confidence intervals, equivalence power (if true effect is zero), and minimum detectable effect per 1-SD litigation-rate increase.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Bootstrap p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Bootstrap 95% CI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Equivalence margin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Power if true null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MDE (80% power)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Physician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0.573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-0.00476, 0.00212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+/-1%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98.4%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1.08%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Physician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0.573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-0.00476, 0.00212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+/-2%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100.0%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1.08%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Hospital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0.903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-0.00431, 0.00416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+/-1%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90.4%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1.69%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Hospital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0.903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-0.00431, 0.00416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+/-2%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99.6%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1.69%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7. Counterfactual 2034 physician counts by specialty and policy instrument. Counts are projected from observed biennial baseline drift plus the indicated effect; marginal percentage changes are shown in Figure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Specialty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2024 count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Baseline 2034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Litigation zero (point)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Litigation zero (95% lower)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MDE benchmark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Internal medicine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124,010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136,909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138,010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142,075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144,492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Surgery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26,885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26,299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26,853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28,960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27,755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Orthopaedics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22,630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24,848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25,346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27,239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26,224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Plastic surgery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5,074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7,874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8,177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9,376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8,310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Obstetrics &amp; gynaecology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13,908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14,877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15,191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16,387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15,700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Paediatrics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18,009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19,949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20,023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20,295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21,054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Psychiatry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17,259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20,199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20,391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21,102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21,317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Ophthalmology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13,436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13,957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14,058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14,430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14,730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Otolaryngology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9,330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9,460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9,520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9,744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9,984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Urology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8,069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9,333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9,425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9,766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9,849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Dermatology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10,043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11,411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11,479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11,732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12,042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Anaesthesiology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10,628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13,699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13,745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13,915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14,458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All specialties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279,281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308,815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312,218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325,021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325,915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8. Specialist-trainee coverage by specialty. Coverage is the number of 2018 first-year specialist trainees divided by the number of physicians reported 3-5 years after medical registration in 2014, by primary specialty.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Specialty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2018 specialist trainees (senkoi)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Physicians 3-5 yr after registration (2014)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H24 cohort 3rd year (2012)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H24 cohort 5th year (2014)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Coverage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Internal medicine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2,670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21,536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2,630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2,621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12.4%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Surgery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805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985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735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774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81.7%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Orthopaedics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2,291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472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24.1%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Plastic surgery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51.4%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Obstetrics &amp; gynaecology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441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1,383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342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31.9%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Paediatrics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573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7,950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447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7.2%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Psychiatry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441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637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69.2%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Ophthalmology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1,051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31.2%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Otolaryngology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617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43.3%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Urology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568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48.2%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Dermatology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1,405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19.3%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Anaesthesiology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1,091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385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45.4%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9. Heterogeneity and trend-stability checks. High-litigation and surgical models include an interaction between the lagged litigation rate and a binary group indicator (the main effect of the group is absorbed by specialty fixed effects). The trend-stability model adds specialty-specific linear time trends.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/ check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Main coefficient (SE)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Interaction coefficient (SE)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Physician growth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High litigation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+0.0098 (+0.0084)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0.27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-0.0119 (+0.0096)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Physician growth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Surgical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-0.0045 (+0.0037)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+0.0057 (+0.0064)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0.39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Hospital growth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High litigation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-0.0001 (+0.0034)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+0.0004 (+0.0043)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Hospital growth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Surgical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+0.0044 (+0.0027)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0.12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-0.0066 (+0.0032)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0.06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Physician growth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Specialty trends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+0.0010 (+0.0028)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Hospital growth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Specialty trends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+0.0027 (+0.0016)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0.11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</w:rPr>
        <w:t>STROBE checklist</w:t>
      </w:r>
    </w:p>
    <w:p>
      <w:pPr>
        <w:spacing w:before="280" w:after="120"/>
      </w:pPr>
      <w:r>
        <w:rPr>
          <w:rFonts w:ascii="Times New Roman" w:hAnsi="Times New Roman"/>
          <w:b/>
          <w:sz w:val="20"/>
        </w:rPr>
        <w:t>STROBE checklist for observational cohort studies.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Item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Description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Reported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Title and abstract indicate the study design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Background and rationale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Specific objectives and hypotheses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Key elements of study design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Data sources, locations and dates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Eligibility and selection criteria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Definitions of outcomes, exposures and predictors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Data sources and measurement methods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Discussion of potential sources of bias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Explanation of study size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Quantitative variables: grouping and transformations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Description of all statistical methods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Numbers of participants at each stage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Descriptive characteristics of participants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Outcome data for each exposure category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Main results with measures of uncertainty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Other analyses (sensitivity and subgroup)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Summary of key results with reference to objectives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Limitations of bias and imprecision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Cautious overall interpretation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Generalisability to other populations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Registration, protocol, funding, data and code availability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*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*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*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Malgun Gothic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Malgun Gothic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