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[Date]</w:t>
      </w:r>
    </w:p>
    <w:p/>
    <w:p>
      <w:r>
        <w:rPr>
          <w:rFonts w:ascii="Times New Roman" w:hAnsi="Times New Roman"/>
          <w:sz w:val="24"/>
        </w:rPr>
        <w:t>The Editor-in-Chief</w:t>
      </w:r>
    </w:p>
    <w:p>
      <w:r>
        <w:rPr>
          <w:rFonts w:ascii="Times New Roman" w:hAnsi="Times New Roman"/>
          <w:sz w:val="24"/>
        </w:rPr>
        <w:t>Health Policy</w:t>
      </w:r>
    </w:p>
    <w:p/>
    <w:p>
      <w:r>
        <w:rPr>
          <w:rFonts w:ascii="Times New Roman" w:hAnsi="Times New Roman"/>
          <w:sz w:val="24"/>
        </w:rPr>
        <w:t>Dear Editor,</w:t>
      </w:r>
    </w:p>
    <w:p>
      <w:pPr>
        <w:spacing w:after="160" w:line="360" w:lineRule="auto"/>
      </w:pPr>
      <w:r>
        <w:rPr>
          <w:rFonts w:ascii="Times New Roman" w:hAnsi="Times New Roman"/>
          <w:sz w:val="22"/>
        </w:rPr>
        <w:t>We submit an original full-length article, "Litigation risk and specialty-level physician and hospital supply in Japan, 2008–2024: a rate-based analysis with equivalence testing", for consideration by Health Policy.</w:t>
      </w:r>
    </w:p>
    <w:p>
      <w:pPr>
        <w:spacing w:after="160" w:line="360" w:lineRule="auto"/>
      </w:pPr>
      <w:r>
        <w:rPr>
          <w:rFonts w:ascii="Times New Roman" w:hAnsi="Times New Roman"/>
          <w:sz w:val="22"/>
        </w:rPr>
        <w:t>Note on resubmission. An earlier version of this manuscript (manuscript number [previous manuscript number]) was submitted to Health Policy in August 2026 and was returned without external review. We are resubmitting because the manuscript has since been substantially reworked, with particular attention to the aspects most relevant to Health Policy's readership. The main changes are as follows. (1) The paper is now framed around health-system policy rather than descriptive epidemiology: the Introduction is recast as a Background section that states the policy question, a Research in context box has been added, and the international evidence on damage caps and no-fault compensation is now gathered in a dedicated Policy implications subsection of the Discussion and related explicitly to Japan's JOCS-CP and payment levers. (2) The scope has been broadened from the physician workforce alone to physician and hospital supply, and the title, abstract (now structured), highlights and conclusions have been rewritten accordingly. (3) The Discussion has been reorganised so that each point raised in the Background is answered explicitly against the Results. (4) The manuscript has been brought into line with the journal's author guidelines (structured abstract, Research in context, no more than four display items and three equations, Vancouver referencing, TIFF figures) and every reported number has been regenerated from the raw primary files by a single reproducible build; the confidence interval for the JOCS-CP indicator and three reference entries were corrected in this process. (5) Causal language in the Discussion has been moderated to match the observational, specialty-level design.</w:t>
      </w:r>
    </w:p>
    <w:p>
      <w:pPr>
        <w:spacing w:after="160" w:line="360" w:lineRule="auto"/>
      </w:pPr>
      <w:r>
        <w:rPr>
          <w:rFonts w:ascii="Times New Roman" w:hAnsi="Times New Roman"/>
          <w:sz w:val="22"/>
        </w:rPr>
        <w:t>Japan is a high-income country outside the United States with a rapidly ageing population and a widely debated maldistribution of physicians across specialties. Using national primary data for 12 clinical specialties, we test whether malpractice-litigation risk is associated with subsequent decline in the physician workforce and in hospitals offering each specialty.</w:t>
      </w:r>
    </w:p>
    <w:p>
      <w:pPr>
        <w:spacing w:after="160" w:line="360" w:lineRule="auto"/>
      </w:pPr>
      <w:r>
        <w:rPr>
          <w:rFonts w:ascii="Times New Roman" w:hAnsi="Times New Roman"/>
          <w:sz w:val="22"/>
        </w:rPr>
        <w:t>Crucially, we express exposure as a rate (closed claims per 1,000 physicians) to remove specialty-size confounding, analyse only measured biennial physician observations rather than interpolated annual values, and apply equivalence (TOST) testing. We find no association between litigation risk and workforce or hospital change; the effect is statistically equivalent to a null within a small, pre-specified margin. The common intuition that physicians avoid high-litigation specialties is not supported. We show that count-based associations can arise from size confounding and from treating interpolated years as independent observations, and we discuss how structural incentives—notably no-fault obstetric compensation (JOCS-CP)—may sustain the specialty workforce.</w:t>
      </w:r>
    </w:p>
    <w:p>
      <w:pPr>
        <w:spacing w:after="160" w:line="360" w:lineRule="auto"/>
      </w:pPr>
      <w:r>
        <w:rPr>
          <w:rFonts w:ascii="Times New Roman" w:hAnsi="Times New Roman"/>
          <w:sz w:val="22"/>
        </w:rPr>
        <w:t>All data and code are openly available and every reported number is reproducible from the raw primary files in the accompanying repository.</w:t>
      </w:r>
    </w:p>
    <w:p>
      <w:pPr>
        <w:spacing w:after="160" w:line="360" w:lineRule="auto"/>
      </w:pPr>
      <w:r>
        <w:rPr>
          <w:rFonts w:ascii="Times New Roman" w:hAnsi="Times New Roman"/>
          <w:sz w:val="22"/>
        </w:rPr>
        <w:t>The work is original, not under consideration elsewhere, and all authors approve the submission. We declare no conflicts of interest.</w:t>
      </w:r>
    </w:p>
    <w:p>
      <w:r>
        <w:rPr>
          <w:rFonts w:ascii="Times New Roman" w:hAnsi="Times New Roman"/>
          <w:sz w:val="24"/>
        </w:rPr>
        <w:t>Sincerely,</w:t>
      </w:r>
    </w:p>
    <w:p/>
    <w:p>
      <w:r>
        <w:rPr>
          <w:rFonts w:ascii="Times New Roman" w:hAnsi="Times New Roman"/>
          <w:sz w:val="24"/>
        </w:rPr>
        <w:t>[Corresponding author, on behalf of all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Arial"/>
        <a:font script="Hang" typeface="Arial"/>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Arial"/>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