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Litigation is widely assumed to drive physicians from high-risk specialties.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Using rate-based panel data for 12 Japanese specialties, we find no such association.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testing supports a null effect within policy-relevant margins.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A no-fault obstetric compensation scheme coincided with obstetric hospital growth.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Policy should target structural incentives, not litigation-avoidance messaging.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