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Supplementary material</w:t>
      </w:r>
    </w:p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Supplementary Figure 1. Closed malpractice claims per 1,000 physicians by specialty, 2008–2024 (rates, not counts).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Supplementary_Figur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480" w:lineRule="auto" w:after="120"/>
      </w:pPr>
      <w:r>
        <w:rPr>
          <w:rFonts w:ascii="Times New Roman" w:hAnsi="Times New Roman"/>
          <w:b w:val="0"/>
          <w:i w:val="0"/>
          <w:sz w:val="24"/>
        </w:rPr>
        <w:t>Supplementary Figure 2. Physician workforce by specialty, indexed to 2008 (=100).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p_Supplementary_Figur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1. Primary data sources and their resolution.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Series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Source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Resolution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Years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Role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Physicians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Statistics of Physicians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Biennial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2004–2024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Denominator &amp; outcome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Closed malpractice claims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Supreme Court,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Exposure (numerator)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Hospitals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of Medical Institutions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Outcome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Clinics by specialty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MHLW Survey (static)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Every 3 years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2008–2023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Descriptive only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JMSR report counts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JMSR / MAIS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2015–2024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(2016-2024)</w:t>
            </w:r>
          </w:p>
        </w:tc>
      </w:tr>
      <w:tr>
        <w:tc>
          <w:tcPr>
            <w:tcW w:type="dxa" w:w="1872"/>
          </w:tcPr>
          <w:p>
            <w:r>
              <w:rPr>
                <w:rFonts w:ascii="Times New Roman" w:hAnsi="Times New Roman"/>
                <w:sz w:val="18"/>
              </w:rPr>
              <w:t>Newspaper article counts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Nikkei Telecom 21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Annual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2008–2018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Sensitivity (2009-2018)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2. Equivalence (TOST) results (effect per +1 SD litigation rate).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Outcome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 per SD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90% CI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Margin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TOST p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Equivalent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Physician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-0.21%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-0.84%, +0.42%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0.000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±1%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0.059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</w:tr>
      <w:tr>
        <w:tc>
          <w:tcPr>
            <w:tcW w:type="dxa" w:w="1560"/>
          </w:tcPr>
          <w:p>
            <w:r>
              <w:rPr>
                <w:rFonts w:ascii="Times New Roman" w:hAnsi="Times New Roman"/>
                <w:sz w:val="18"/>
              </w:rPr>
              <w:t>Hospital growth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+0.07%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-0.91%, +1.06%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±2%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3. JMSR-adjusted annual hospital growth model (2016-2024) with both exposures entered simultaneously.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+0.0021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0.28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JMSR report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-0.0009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0.66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108</w:t>
            </w:r>
          </w:p>
        </w:tc>
      </w:tr>
    </w:tbl>
    <w:p/>
    <w:p>
      <w:pPr>
        <w:spacing w:before="280" w:after="120"/>
      </w:pPr>
      <w:r>
        <w:rPr>
          <w:rFonts w:ascii="Times New Roman" w:hAnsi="Times New Roman"/>
          <w:b/>
          <w:sz w:val="20"/>
        </w:rPr>
        <w:t>Supplementary Table 4. Media-adjusted annual hospital growth model (2009-2018) with a linear time trend; full year fixed effects are omitted because the national article-count series is collinear with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Exposure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Coefficient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p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litigation rate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-0.0003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0.72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/>
                <w:sz w:val="18"/>
              </w:rPr>
              <w:t>Lagged media count (per 1,000 articles)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-0.0014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0.21</w:t>
            </w:r>
          </w:p>
        </w:tc>
        <w:tc>
          <w:tcPr>
            <w:tcW w:type="dxa" w:w="2340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120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