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[Date]</w:t>
      </w:r>
    </w:p>
    <w:p/>
    <w:p>
      <w:r>
        <w:rPr>
          <w:rFonts w:ascii="Times New Roman" w:hAnsi="Times New Roman"/>
          <w:sz w:val="24"/>
        </w:rPr>
        <w:t>Professor Susan J. Elliott, PhD</w:t>
      </w:r>
    </w:p>
    <w:p>
      <w:r>
        <w:rPr>
          <w:rFonts w:ascii="Times New Roman" w:hAnsi="Times New Roman"/>
          <w:sz w:val="24"/>
        </w:rPr>
        <w:t>Editor-in-Chief</w:t>
      </w:r>
    </w:p>
    <w:p>
      <w:r>
        <w:rPr>
          <w:rFonts w:ascii="Times New Roman" w:hAnsi="Times New Roman"/>
          <w:sz w:val="24"/>
        </w:rPr>
        <w:t>Social Science &amp; Medicine</w:t>
      </w:r>
    </w:p>
    <w:p>
      <w:r>
        <w:rPr>
          <w:rFonts w:ascii="Times New Roman" w:hAnsi="Times New Roman"/>
          <w:sz w:val="24"/>
        </w:rPr>
        <w:t>Elsevier</w:t>
      </w:r>
    </w:p>
    <w:p/>
    <w:p>
      <w:r>
        <w:rPr>
          <w:rFonts w:ascii="Times New Roman" w:hAnsi="Times New Roman"/>
          <w:sz w:val="24"/>
        </w:rPr>
        <w:t>Dear Professor Elliott,</w:t>
      </w:r>
    </w:p>
    <w:p>
      <w:pPr>
        <w:spacing w:after="160" w:line="360" w:lineRule="auto"/>
      </w:pPr>
      <w:r>
        <w:rPr>
          <w:rFonts w:ascii="Times New Roman" w:hAnsi="Times New Roman"/>
          <w:sz w:val="22"/>
        </w:rPr>
        <w:t>We submit an original research article, "Malpractice litigation risk and physician specialty supply in Japan: a national panel study", for consideration by Social Science &amp; Medicine.</w:t>
      </w:r>
    </w:p>
    <w:p>
      <w:pPr>
        <w:spacing w:after="160" w:line="360" w:lineRule="auto"/>
      </w:pPr>
      <w:r>
        <w:rPr>
          <w:rFonts w:ascii="Times New Roman" w:hAnsi="Times New Roman"/>
          <w:sz w:val="22"/>
        </w:rPr>
        <w:t>Social Science &amp; Medicine provides an international interdisciplinary forum for research on health, and our study informs a central health-policy and workforce-planning question: whether malpractice litigation risk shapes the distribution of physicians across specialties. Using national administrative data from Japan, we find no association between specialty-level litigation risk and physician or hospital supply, and we bound any effect within a small equivalence margin.</w:t>
      </w:r>
    </w:p>
    <w:p>
      <w:pPr>
        <w:spacing w:after="160" w:line="360" w:lineRule="auto"/>
      </w:pPr>
      <w:r>
        <w:rPr>
          <w:rFonts w:ascii="Times New Roman" w:hAnsi="Times New Roman"/>
          <w:sz w:val="22"/>
        </w:rPr>
        <w:t>The paper makes three contributions. First, it shows how two common observational fallacies -- size confounding in raw administrative counts and interpolation of sparse panel data -- can distort evidence on litigation-workforce relationships. Second, it combines fixed-effects panel methods, equivalence testing, cluster block-bootstrap and power diagnostics to produce an informative null result rather than a mere failure to reject the null. Third, it interprets the null through the lens of institutional and behavioural mechanisms -- availability, loss aversion and status-quo bias -- that explain why perceived risk can be high while aggregate workforce response remains negligible.</w:t>
      </w:r>
    </w:p>
    <w:p>
      <w:pPr>
        <w:spacing w:after="160" w:line="360" w:lineRule="auto"/>
      </w:pPr>
      <w:r>
        <w:rPr>
          <w:rFonts w:ascii="Times New Roman" w:hAnsi="Times New Roman"/>
          <w:sz w:val="22"/>
        </w:rPr>
        <w:t>The national administrative data come from Japan, a setting that provides a complete, long-running test case. The analysis is fully reproducible from openly available primary files and code in the project repository ([anonymous GitHub repository URL to be supplied]). We believe the manuscript will be of interest to health economists, health-policy scholars, and social-science researchers concerned with how risk, institutions and incentives shape workforce behaviour. We suggest the Health Policy office as the most appropriate handling office.</w:t>
      </w:r>
    </w:p>
    <w:p>
      <w:pPr>
        <w:spacing w:after="160" w:line="360" w:lineRule="auto"/>
      </w:pPr>
      <w:r>
        <w:rPr>
          <w:rFonts w:ascii="Times New Roman" w:hAnsi="Times New Roman"/>
          <w:sz w:val="22"/>
        </w:rPr>
        <w:t>The work is original, is not under consideration elsewhere, and all authors approve the submission. We declare no conflicts of interest.</w:t>
      </w:r>
    </w:p>
    <w:p>
      <w:r>
        <w:rPr>
          <w:rFonts w:ascii="Times New Roman" w:hAnsi="Times New Roman"/>
          <w:sz w:val="24"/>
        </w:rPr>
        <w:t>Sincerely,</w:t>
      </w:r>
    </w:p>
    <w:p/>
    <w:p>
      <w:r>
        <w:rPr>
          <w:rFonts w:ascii="Times New Roman" w:hAnsi="Times New Roman"/>
          <w:sz w:val="24"/>
        </w:rPr>
        <w:t>[Corresponding author, on behalf of all authors]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*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*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*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