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6"/>
        </w:rPr>
        <w:t>Highlights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4"/>
        </w:rPr>
        <w:t>No litigation-risk effect on physician or hospital supply growth in Japan.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4"/>
        </w:rPr>
        <w:t>Rate-based, measured-only design avoids size confounding and interpolation bias.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4"/>
        </w:rPr>
        <w:t>Equivalence tests bound litigation effects below policy-relevant margins.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4"/>
        </w:rPr>
        <w:t>Structural incentives outweigh perceived litigation risk in career choices.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4"/>
        </w:rPr>
        <w:t>No-fault compensation and payment design are more promising policy levers.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*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*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*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Malgun Gothic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MS Mincho"/>
        <a:font script="Hang" typeface="Malgun Gothic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