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Cultural Stereotypes and the Risk of Undertreated Pain: A Nationwide Ecological Study in Japan</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Word count: </w:t>
      </w:r>
      <w:r>
        <w:t>4206 (including references, tables and figure captions; JoPPP limit &lt;= 6,000)</w:t>
      </w:r>
    </w:p>
    <w:p/>
    <w:p>
      <w:pPr>
        <w:pStyle w:val="Heading1"/>
      </w:pPr>
      <w:r>
        <w:rPr>
          <w:rFonts w:ascii="Times New Roman" w:hAnsi="Times New Roman"/>
          <w:color w:val="000000"/>
        </w:rPr>
        <w:t>Abstract</w:t>
      </w:r>
    </w:p>
    <w:p>
      <w:r>
        <w:rPr>
          <w:b/>
        </w:rPr>
        <w:t xml:space="preserve">Background: </w:t>
      </w:r>
      <w:r>
        <w:t>Clinicians frequently rely on cultural labels when estimating analgesic requirements, yet whether pain-related prescribing varies within Japan has not been examined at the population level.</w:t>
      </w:r>
    </w:p>
    <w:p>
      <w:r>
        <w:rPr>
          <w:b/>
        </w:rPr>
        <w:t xml:space="preserve">Methods: </w:t>
      </w:r>
      <w:r>
        <w:t>This ecological study used Japan’s National Database of Health Insurance Claims (NDB Open Data, 10th edition; population-complete, April 2023–March 2024) to map pain-related prescribing across all 47 prefectures. Phase 1 examined acute perioperative analgesic prescribing per surgery. Phase 2 examined outpatient neuropathic pain drug prescribing as a population-level proxy for chronic neuropathic pain-related prescribing, adjusted for comorbidity proxies using multiple regression. Standardised claim ratios (SCR) confirmed findings after age-sex standardisation.</w:t>
      </w:r>
    </w:p>
    <w:p>
      <w:r>
        <w:rPr>
          <w:b/>
        </w:rPr>
        <w:t xml:space="preserve">Results: </w:t>
      </w:r>
      <w:r>
        <w:t xml:space="preserve">Crude acute analgesic prescribing varied 1.97-fold across prefectures (Kruskal–Wallis </w:t>
      </w:r>
      <m:oMath>
        <m:box>
          <m:e>
            <m:r>
              <m:rPr>
                <m:sty m:val="i"/>
              </m:rPr>
              <m:t>P</m:t>
            </m:r>
            <m:r>
              <m:rPr>
                <m:sty m:val="p"/>
              </m:rPr>
              <m:t>&lt;</m:t>
            </m:r>
            <m:r>
              <m:rPr>
                <m:sty m:val="p"/>
              </m:rPr>
              <m:t>0.001</m:t>
            </m:r>
          </m:e>
        </m:box>
      </m:oMath>
      <w:r>
        <w:t xml:space="preserve">). Tohoku had a higher unadjusted analgesic-per-surgery index than non-Tohoku prefectures (Cohen’s </w:t>
      </w:r>
      <m:oMath>
        <m:box>
          <m:e>
            <m:r>
              <m:rPr>
                <m:sty m:val="i"/>
              </m:rPr>
              <m:t>d</m:t>
            </m:r>
            <m:r>
              <m:rPr>
                <m:sty m:val="p"/>
              </m:rPr>
              <m:t>=</m:t>
            </m:r>
            <m:r>
              <m:rPr>
                <m:sty m:val="p"/>
              </m:rPr>
              <m:t>0.87</m:t>
            </m:r>
          </m:e>
        </m:box>
      </m:oMath>
      <w:r>
        <w:t>); however, after age-sex standardisation the Tohoku inpatient analgesic standardised claim ratio (SCR) was lower than the non-Tohoku mean (97.0 vs 101.0). Unadjusted outpatient neuropathic pain prescribing also showed a large Tohoku excess (</w:t>
      </w:r>
      <m:oMath>
        <m:box>
          <m:e>
            <m:r>
              <m:rPr>
                <m:sty m:val="i"/>
              </m:rPr>
              <m:t>d</m:t>
            </m:r>
            <m:r>
              <m:rPr>
                <m:sty m:val="p"/>
              </m:rPr>
              <m:t>=</m:t>
            </m:r>
            <m:r>
              <m:rPr>
                <m:sty m:val="p"/>
              </m:rPr>
              <m:t>2.81</m:t>
            </m:r>
          </m:e>
        </m:box>
      </m:oMath>
      <w:r>
        <w:t>), but diabetes and other comorbidity proxies attenuated it by 84% (</w:t>
      </w:r>
      <m:oMath>
        <m:box>
          <m:e>
            <m:r>
              <m:rPr>
                <m:sty m:val="i"/>
              </m:rPr>
              <m:t>P</m:t>
            </m:r>
            <m:r>
              <m:rPr>
                <m:sty m:val="p"/>
              </m:rPr>
              <m:t>=</m:t>
            </m:r>
            <m:r>
              <m:rPr>
                <m:sty m:val="p"/>
              </m:rPr>
              <m:t>0.32</m:t>
            </m:r>
          </m:e>
        </m:box>
      </m:oMath>
      <w:r>
        <w:t>). SCR confirmed 2.04-fold variation in outpatient neuropathic pain prescribing after age-sex standardisation.</w:t>
      </w:r>
    </w:p>
    <w:p>
      <w:r>
        <w:rPr>
          <w:b/>
        </w:rPr>
        <w:t xml:space="preserve">Conclusion: </w:t>
      </w:r>
      <w:r>
        <w:t>Crude acute analgesic prescribing varied nearly twofold across prefectures, but the unadjusted Tohoku excess was not evident after age-sex standardisation. Neuropathic pain prescribing varied even more widely and was partly accounted for by comorbidity proxies. These findings suggest that cultural labels are not a reliable basis for estimating population analgesic prescribing, and that individual clinical assessment remains essential.</w:t>
      </w:r>
    </w:p>
    <w:p>
      <w:r>
        <w:t>Keywords: pain; analgesics; cultural stereotype; regional variation; Japan; NDB Open Data</w:t>
      </w:r>
    </w:p>
    <w:p/>
    <w:p>
      <w:pPr>
        <w:pStyle w:val="Heading1"/>
      </w:pPr>
      <w:r>
        <w:rPr>
          <w:rFonts w:ascii="Times New Roman" w:hAnsi="Times New Roman"/>
          <w:color w:val="000000"/>
        </w:rPr>
        <w:t>Background</w:t>
      </w:r>
    </w:p>
    <w:p>
      <w:r>
        <w:t>When prescribing analgesics, clinicians routinely make assumptions about how much pain a patient can tolerate. These assumptions are often anchored to cultural labels (Callister, 2003; Rogger et al., 2023). Since Zborowski’s (1969) landmark observation that ethnic groups differ in pain behaviour, Okolo et al. (2024) established that cultural norms influence pain reporting, treatment-seeking, and analgesic use. Japan is a case in point: Hobara found that Japanese respondents rated pain behaviours as less appropriate than Euro-Americans (Hobara, 2005), and Feng et al. (2017) showed that Japanese participants were far less willing to trade time to avoid pain on the EQ-5D than respondents in the UK and the Netherlands.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et al. (1996) demonstrated that the “culture of honour” in the southern United States produces measurably different behavioural responses from the North, including physiological stress responses. In Japan, regional cultural identities remain strong despite the discourse of national homogeneity. The Tohoku region (northeastern Honshu) is traditionally perceived as embodying stoic endurance (Kumagai, 2020), and even the Japanese word for throbbing pain (uzuku) shows distinct regional usage patterns that map onto historical dialect boundaries (Takeda &amp; Yarimizu, 2016). A 2017 survey by Pfizer Japan Inc. (2017) found that 74.1% of chronic pain respondents reported enduring pain, with prefecture-level rates ranging from 68.3% (Kanagawa) to 81.6% (Tochigi).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 (Ministry of Health, Labour and Welfare [MHLW], n.d.)—provide a unique setting for ecological analysis of regional prescribing variation. Recent work has documented up to 1.6-fold regional variation in high-impact chronic pain prevalence using a large internet survey (Wakaizumi et al., 2024) and up to 4-fold variation in cancer opioid prescribing using hospital claims data (Takahashi et al., 2025). Taira et al. (2021) demonstrated substantial regional inequality in dental care utilisation using NDB-derived standardised claim ratios across all 47 prefectures. However, no study has applied this population-complete ecological framework to pain-related prescribing.</w:t>
      </w:r>
    </w:p>
    <w:p>
      <w:r>
        <w:t>The perioperative setting offers a further methodological advantage: because all patients in Phase 1 are hospitalised for surgery, geographic differences in outpatient healthcare access are unlikely to be the main driver of the Phase 1 findings, although surgical case-mix and hospital practice patterns remain unmeasured. This study had three objectives: (1) map regional variation in acute perioperative analgesic prescribing across 47 prefectures; (2) examine outpatient neuropathic pain prescribing as a population-level proxy for chronic neuropathic pain-related prescribing after adjustment for comorbidity proxies;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 (von Elm et al., 2007) and the REporting of studies Conducted using Observational Routinely-collected health Data (RECORD) extension (Benchimol et al., 2015).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 (MHLW, n.d.).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(one of the principal procedure categories in the NDB classification of hospital claims) of the claims data. The analgesic-per-surgery index was calculated for each prefecture as total inpatient analgesic prescription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mirogabalin, duloxetine, tramadol, and neurotropin. These agents are first-line or commonly used medications for neuropathic pain in Japan and serve as a population-level proxy for chronic neuropathic pain-related prescribing. Because individual diagnosis codes are unavailable in the aggregate open data, the proxy cannot distinguish postsurgical neuropathy from diabetic, postherpetic, or other neuropathic conditions.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w:t>
      </w:r>
    </w:p>
    <w:p>
      <w:pPr>
        <w:pStyle w:val="Heading2"/>
      </w:pPr>
      <w:r>
        <w:rPr>
          <w:rFonts w:ascii="Times New Roman" w:hAnsi="Times New Roman"/>
          <w:color w:val="000000"/>
        </w:rPr>
        <w:t>Confounder disease proxies</w:t>
      </w:r>
    </w:p>
    <w:p>
      <w:r>
        <w:t>Four confounder disease proxies were extracted from outpatient data: oral hypoglycaemic agents (proxy for diabetic neuropathy, the most common cause of neuropathic pain in Japan), herpes zoster antivirals (proxy for postherpetic neuralgia), antidepressants excluding duloxetine (proxy for depression, because some antidepressants are co-prescribed with neuropathic pain medications), and anxiolytics (proxy for anxiety disorders). Each proxy was expressed per surgery to maintain consistency with the primary outcome. Outpatient nerve block procedure counts served as an additional independent neuropathic-pain-related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 Model 1 (unadjusted Tohoku vs non-Tohoku comparison), Model 2 (neuropathic pain ~ diabetes + herpes + antidepressants + anxiolytics + Tohoku indicator), Model 3 (core neuropathic drugs only ~ same confounders), Model 4 (nerve blocks ~ same confounders), and Model 5 (neuropathic pain ~ acute analgesic index + confounders).</w:t>
      </w:r>
    </w:p>
    <w:p>
      <w:r>
        <w:t>The adjusted neuropathic pain prescribing index was derived as residuals from regressing neuropathic pain prescribing on the four confounder proxies. Standardised claim ratios (SCR) were computed by indirect age-sex standardisation following Taira et al. (2021) National age-sex-specific prescription rates (18 five-year age groups × 2 sexes) from the NDB were applied to each prefecture’s population structure. All analyses used Python 3.11 (NumPy 1.24, SciPy 1.11).</w:t>
      </w:r>
    </w:p>
    <w:p>
      <w:pPr>
        <w:pStyle w:val="Heading2"/>
      </w:pPr>
      <w:r>
        <w:rPr>
          <w:rFonts w:ascii="Times New Roman" w:hAnsi="Times New Roman"/>
          <w:color w:val="000000"/>
        </w:rPr>
        <w:t>Patient and public involvement</w:t>
      </w:r>
    </w:p>
    <w:p>
      <w:r>
        <w:t>Patients or members of the public were not involved in the design, conduct, reporting, or dissemination plans of this research.</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 xml:space="preserve">During April 2023–March 2024, the NDB recorded 7,903,515 inpatient surgical procedures and 274,579,850 analgesic prescription units across 47 prefectures. The national mean analgesic-per-surgery index was 35.78 (SD 5.69), ranging from 25.20 (Gifu) to 49.75 (Kagoshima)—a 1.97-fold difference (Kruskal–Wallis </w:t>
      </w:r>
      <m:oMath>
        <m:box>
          <m:e>
            <m:r>
              <m:rPr>
                <m:sty m:val="i"/>
              </m:rPr>
              <m:t>P</m:t>
            </m:r>
            <m:r>
              <m:rPr>
                <m:sty m:val="p"/>
              </m:rPr>
              <m:t>&lt;</m:t>
            </m:r>
            <m:r>
              <m:rPr>
                <m:sty m:val="p"/>
              </m:rPr>
              <m:t>0.001</m:t>
            </m:r>
          </m:e>
        </m:box>
      </m:oMath>
      <w:r>
        <w:t xml:space="preserve"> across nine regions; Table 1).</w:t>
      </w:r>
    </w:p>
    <w:p>
      <w:pPr>
        <w:spacing w:before="280"/>
      </w:pPr>
      <w:r>
        <w:rPr>
          <w:b/>
          <w:sz w:val="20"/>
        </w:rPr>
        <w:t xml:space="preserve">Table 1. </w:t>
      </w:r>
      <w:r>
        <w:rPr>
          <w:sz w:val="20"/>
        </w:rPr>
        <w:t xml:space="preserve">Regional summary of inpatient analgesic prescribing per surgery across nine regional blocks. Values are unadjusted analgesic-per-surgery index (mean ± SD) and do not account for age-sex or case-mix differences. Kruskal–Wallis </w:t>
      </w:r>
      <m:oMath>
        <m:box>
          <m:e>
            <m:r>
              <m:rPr>
                <m:sty m:val="i"/>
              </m:rPr>
              <m:t>P</m:t>
            </m:r>
            <m:r>
              <m:rPr>
                <m:sty m:val="p"/>
              </m:rPr>
              <m:t>&lt;</m:t>
            </m:r>
            <m:r>
              <m:rPr>
                <m:sty m:val="p"/>
              </m:rPr>
              <m:t>0.001</m:t>
            </m:r>
          </m:e>
        </m:box>
      </m:oMath>
      <w:r>
        <w:rPr>
          <w:sz w:val="20"/>
        </w:rPr>
        <w: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 xml:space="preserve">Substantial regional clustering was observed. Tokai and Kinki (western Japan) had the lowest indices, while Kyushu-Okinawa and Hokkaido had the highest. Tohoku, culturally perceived as Japan’s most stoic region, ranked 7th of the nine regions with a mean index of 39.97 (SD 3.53), significantly above the non-Tohoku mean of 35.17 (Mann–Whitney U=190, </w:t>
      </w:r>
      <m:oMath>
        <m:box>
          <m:e>
            <m:r>
              <m:rPr>
                <m:sty m:val="i"/>
              </m:rPr>
              <m:t>P</m:t>
            </m:r>
            <m:r>
              <m:rPr>
                <m:sty m:val="p"/>
              </m:rPr>
              <m:t>=</m:t>
            </m:r>
            <m:r>
              <m:rPr>
                <m:sty m:val="p"/>
              </m:rPr>
              <m:t>0.031</m:t>
            </m:r>
          </m:e>
        </m:box>
      </m:oMath>
      <w:r>
        <w:t xml:space="preserve">; Cohen’s </w:t>
      </w:r>
      <m:oMath>
        <m:box>
          <m:e>
            <m:r>
              <m:rPr>
                <m:sty m:val="i"/>
              </m:rPr>
              <m:t>d</m:t>
            </m:r>
            <m:r>
              <m:rPr>
                <m:sty m:val="p"/>
              </m:rPr>
              <m:t>=</m:t>
            </m:r>
            <m:r>
              <m:rPr>
                <m:sty m:val="p"/>
              </m:rPr>
              <m:t>0.87</m:t>
            </m:r>
          </m:e>
        </m:box>
      </m:oMath>
      <w:r>
        <w:t>). All six Tohoku prefectures ranked in the upper half nationally.</w:t>
      </w:r>
    </w:p>
    <w:p>
      <w:r>
        <w:t xml:space="preserve">Sub-analyses by drug class showed that the Tohoku excess was consistent across all three acute analgesic categories: antipyretic analgesics including NSAIDs and acetaminophen (37.90 vs 33.66, </w:t>
      </w:r>
      <m:oMath>
        <m:box>
          <m:e>
            <m:r>
              <m:rPr>
                <m:sty m:val="i"/>
              </m:rPr>
              <m:t>P</m:t>
            </m:r>
            <m:r>
              <m:rPr>
                <m:sty m:val="p"/>
              </m:rPr>
              <m:t>=</m:t>
            </m:r>
            <m:r>
              <m:rPr>
                <m:sty m:val="p"/>
              </m:rPr>
              <m:t>0.044</m:t>
            </m:r>
          </m:e>
        </m:box>
      </m:oMath>
      <w:r>
        <w:t xml:space="preserve">), opium alkaloid narcotics including morphine and codeine (1.91 vs 1.43, </w:t>
      </w:r>
      <m:oMath>
        <m:box>
          <m:e>
            <m:r>
              <m:rPr>
                <m:sty m:val="i"/>
              </m:rPr>
              <m:t>P</m:t>
            </m:r>
            <m:r>
              <m:rPr>
                <m:sty m:val="p"/>
              </m:rPr>
              <m:t>=</m:t>
            </m:r>
            <m:r>
              <m:rPr>
                <m:sty m:val="p"/>
              </m:rPr>
              <m:t>0.003</m:t>
            </m:r>
          </m:e>
        </m:box>
      </m:oMath>
      <w:r>
        <w:t xml:space="preserve">), and synthetic narcotics including fentanyl and pethidine (0.16 vs 0.09, </w:t>
      </w:r>
      <m:oMath>
        <m:box>
          <m:e>
            <m:r>
              <m:rPr>
                <m:sty m:val="i"/>
              </m:rPr>
              <m:t>P</m:t>
            </m:r>
            <m:r>
              <m:rPr>
                <m:sty m:val="p"/>
              </m:rPr>
              <m:t>=</m:t>
            </m:r>
            <m:r>
              <m:rPr>
                <m:sty m:val="p"/>
              </m:rPr>
              <m:t>0.001</m:t>
            </m:r>
          </m:e>
        </m:box>
      </m:oMath>
      <w:r>
        <w:t>). The largest absolute class difference was observed among opium alkaloid narcotics.</w:t>
      </w:r>
    </w:p>
    <w:p>
      <w:pPr>
        <w:pStyle w:val="Heading2"/>
      </w:pPr>
      <w:r>
        <w:rPr>
          <w:rFonts w:ascii="Times New Roman" w:hAnsi="Times New Roman"/>
          <w:color w:val="000000"/>
        </w:rPr>
        <w:t>Phase 2: Outpatient neuropathic pain prescribing (unadjusted)</w:t>
      </w:r>
    </w:p>
    <w:p>
      <w:r>
        <w:t xml:space="preserve">Nationally, outpatient neuropathic pain drug prescriptions totalled 2,289,380,822 units, comprising pregabalin (40.2%), neurotropin (20.1%), mirogabalin (19.6%), duloxetine (15.3%), and tramadol (4.9%). Tohoku had a markedly higher neuropathic pain prescribing-per-surgery index (432.8 vs 282.5; </w:t>
      </w:r>
      <m:oMath>
        <m:box>
          <m:e>
            <m:r>
              <m:rPr>
                <m:sty m:val="i"/>
              </m:rPr>
              <m:t>P</m:t>
            </m:r>
            <m:r>
              <m:rPr>
                <m:sty m:val="p"/>
              </m:rPr>
              <m:t>&lt;</m:t>
            </m:r>
            <m:r>
              <m:rPr>
                <m:sty m:val="p"/>
              </m:rPr>
              <m:t>0.001</m:t>
            </m:r>
          </m:e>
        </m:box>
      </m:oMath>
      <w:r>
        <w:t xml:space="preserve">; </w:t>
      </w:r>
      <m:oMath>
        <m:box>
          <m:e>
            <m:r>
              <m:rPr>
                <m:sty m:val="i"/>
              </m:rPr>
              <m:t>d</m:t>
            </m:r>
            <m:r>
              <m:rPr>
                <m:sty m:val="p"/>
              </m:rPr>
              <m:t>=</m:t>
            </m:r>
            <m:r>
              <m:rPr>
                <m:sty m:val="p"/>
              </m:rPr>
              <m:t>2.81</m:t>
            </m:r>
          </m:e>
        </m:box>
      </m:oMath>
      <w:r>
        <w:t>), with Iwate (565.5), Aomori (519.9), and Akita (459.3) occupying the top three nationally (Figure 1).</w:t>
      </w:r>
    </w:p>
    <w:p>
      <w:pPr>
        <w:spacing w:before="240" w:after="240"/>
        <w:jc w:val="center"/>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w:t>
      </w:r>
      <m:oMath>
        <m:box>
          <m:e>
            <m:r>
              <m:rPr>
                <m:sty m:val="i"/>
              </m:rPr>
              <m:t>r</m:t>
            </m:r>
            <m:r>
              <m:rPr>
                <m:sty m:val="p"/>
              </m:rPr>
              <m:t>=</m:t>
            </m:r>
            <m:r>
              <m:rPr>
                <m:sty m:val="p"/>
              </m:rPr>
              <m:t>0.87</m:t>
            </m:r>
          </m:e>
        </m:box>
      </m:oMath>
      <w:r>
        <w:t xml:space="preserve">, </w:t>
      </w:r>
      <m:oMath>
        <m:box>
          <m:e>
            <m:r>
              <m:rPr>
                <m:sty m:val="i"/>
              </m:rPr>
              <m:t>P</m:t>
            </m:r>
            <m:r>
              <m:rPr>
                <m:sty m:val="p"/>
              </m:rPr>
              <m:t>&lt;</m:t>
            </m:r>
            <m:r>
              <m:rPr>
                <m:sty m:val="p"/>
              </m:rPr>
              <m:t>0.001</m:t>
            </m:r>
          </m:e>
        </m:box>
      </m:oMath>
      <w:r>
        <w:t>), followed by anxiolytics (</w:t>
      </w:r>
      <m:oMath>
        <m:box>
          <m:e>
            <m:r>
              <m:rPr>
                <m:sty m:val="i"/>
              </m:rPr>
              <m:t>r</m:t>
            </m:r>
            <m:r>
              <m:rPr>
                <m:sty m:val="p"/>
              </m:rPr>
              <m:t>=</m:t>
            </m:r>
            <m:r>
              <m:rPr>
                <m:sty m:val="p"/>
              </m:rPr>
              <m:t>0.75</m:t>
            </m:r>
          </m:e>
        </m:box>
      </m:oMath>
      <w:r>
        <w:t xml:space="preserve">, </w:t>
      </w:r>
      <m:oMath>
        <m:box>
          <m:e>
            <m:r>
              <m:rPr>
                <m:sty m:val="i"/>
              </m:rPr>
              <m:t>P</m:t>
            </m:r>
            <m:r>
              <m:rPr>
                <m:sty m:val="p"/>
              </m:rPr>
              <m:t>&lt;</m:t>
            </m:r>
            <m:r>
              <m:rPr>
                <m:sty m:val="p"/>
              </m:rPr>
              <m:t>0.001</m:t>
            </m:r>
          </m:e>
        </m:box>
      </m:oMath>
      <w:r>
        <w:t>), antidepressants (</w:t>
      </w:r>
      <m:oMath>
        <m:box>
          <m:e>
            <m:r>
              <m:rPr>
                <m:sty m:val="i"/>
              </m:rPr>
              <m:t>r</m:t>
            </m:r>
            <m:r>
              <m:rPr>
                <m:sty m:val="p"/>
              </m:rPr>
              <m:t>=</m:t>
            </m:r>
            <m:r>
              <m:rPr>
                <m:sty m:val="p"/>
              </m:rPr>
              <m:t>0.46</m:t>
            </m:r>
          </m:e>
        </m:box>
      </m:oMath>
      <w:r>
        <w:t xml:space="preserve">, </w:t>
      </w:r>
      <m:oMath>
        <m:box>
          <m:e>
            <m:r>
              <m:rPr>
                <m:sty m:val="i"/>
              </m:rPr>
              <m:t>P</m:t>
            </m:r>
            <m:r>
              <m:rPr>
                <m:sty m:val="p"/>
              </m:rPr>
              <m:t>=</m:t>
            </m:r>
            <m:r>
              <m:rPr>
                <m:sty m:val="p"/>
              </m:rPr>
              <m:t>0.001</m:t>
            </m:r>
          </m:e>
        </m:box>
      </m:oMath>
      <w:r>
        <w:t>), and herpes antivirals (</w:t>
      </w:r>
      <m:oMath>
        <m:box>
          <m:e>
            <m:r>
              <m:rPr>
                <m:sty m:val="i"/>
              </m:rPr>
              <m:t>r</m:t>
            </m:r>
            <m:r>
              <m:rPr>
                <m:sty m:val="p"/>
              </m:rPr>
              <m:t>=</m:t>
            </m:r>
            <m:r>
              <m:rPr>
                <m:sty m:val="p"/>
              </m:rPr>
              <m:t>0.19</m:t>
            </m:r>
          </m:e>
        </m:box>
      </m:oMath>
      <w:r>
        <w:t xml:space="preserve">, </w:t>
      </w:r>
      <m:oMath>
        <m:box>
          <m:e>
            <m:r>
              <m:rPr>
                <m:sty m:val="i"/>
              </m:rPr>
              <m:t>P</m:t>
            </m:r>
            <m:r>
              <m:rPr>
                <m:sty m:val="p"/>
              </m:rPr>
              <m:t>=</m:t>
            </m:r>
            <m:r>
              <m:rPr>
                <m:sty m:val="p"/>
              </m:rPr>
              <m:t>0.194</m:t>
            </m:r>
          </m:e>
        </m:box>
      </m:oMath>
      <w:r>
        <w:t>). These four confounders collectively accounted for 81.4% of between-prefecture variance in neuropathic pain prescribing (</w:t>
      </w:r>
      <m:oMath>
        <m:box>
          <m:e>
            <m:sSup>
              <m:e>
                <m:r>
                  <m:rPr>
                    <m:sty m:val="i"/>
                  </m:rPr>
                  <m:t>R</m:t>
                </m:r>
              </m:e>
              <m:sup>
                <m:r>
                  <m:rPr>
                    <m:sty m:val="p"/>
                  </m:rPr>
                  <m:t>2</m:t>
                </m:r>
              </m:sup>
            </m:sSup>
            <m:r>
              <m:rPr>
                <m:sty m:val="p"/>
              </m:rPr>
              <m:t>=</m:t>
            </m:r>
            <m:r>
              <m:rPr>
                <m:sty m:val="p"/>
              </m:rPr>
              <m:t>0.814</m:t>
            </m:r>
          </m:e>
        </m:box>
      </m:oMath>
      <w:r>
        <w:t xml:space="preserve"> in Model 2; Figure 2).</w:t>
      </w:r>
    </w:p>
    <w:p>
      <w:pPr>
        <w:spacing w:before="240" w:after="240"/>
        <w:jc w:val="center"/>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w:t>
      </w:r>
      <m:oMath>
        <m:box>
          <m:e>
            <m:r>
              <m:rPr>
                <m:sty m:val="i"/>
              </m:rPr>
              <m:t>r</m:t>
            </m:r>
            <m:r>
              <m:rPr>
                <m:sty m:val="p"/>
              </m:rPr>
              <m:t>=</m:t>
            </m:r>
            <m:r>
              <m:rPr>
                <m:sty m:val="p"/>
              </m:rPr>
              <m:t>0.87</m:t>
            </m:r>
          </m:e>
        </m:box>
      </m:oMath>
      <w:r>
        <w:rPr>
          <w:sz w:val="20"/>
        </w:rPr>
        <w:t>).</w:t>
      </w:r>
    </w:p>
    <w:p>
      <w:r>
        <w:t>After adjustment for all four confounders, the Tohoku effect was attenuated and became nonsignificant in Model 2 (</w:t>
      </w:r>
      <m:oMath>
        <m:box>
          <m:e>
            <m:r>
              <m:rPr>
                <m:sty m:val="i"/>
              </m:rPr>
              <m:t>β</m:t>
            </m:r>
            <m:r>
              <m:rPr>
                <m:sty m:val="p"/>
              </m:rPr>
              <m:t>=</m:t>
            </m:r>
            <m:r>
              <m:rPr>
                <m:sty m:val="p"/>
              </m:rPr>
              <m:t>32.6</m:t>
            </m:r>
          </m:e>
        </m:box>
      </m:oMath>
      <w:r>
        <w:t xml:space="preserve">, </w:t>
      </w:r>
      <m:oMath>
        <m:box>
          <m:e>
            <m:r>
              <m:rPr>
                <m:sty m:val="i"/>
              </m:rPr>
              <m:t>P</m:t>
            </m:r>
            <m:r>
              <m:rPr>
                <m:sty m:val="p"/>
              </m:rPr>
              <m:t>=</m:t>
            </m:r>
            <m:r>
              <m:rPr>
                <m:sty m:val="p"/>
              </m:rPr>
              <m:t>0.15</m:t>
            </m:r>
          </m:e>
        </m:box>
      </m:oMath>
      <w:r>
        <w:t xml:space="preserve">). This was consistent across specifications: Model 3 (core neuropathic drugs only; </w:t>
      </w:r>
      <m:oMath>
        <m:box>
          <m:e>
            <m:r>
              <m:rPr>
                <m:sty m:val="i"/>
              </m:rPr>
              <m:t>β</m:t>
            </m:r>
            <m:r>
              <m:rPr>
                <m:sty m:val="p"/>
              </m:rPr>
              <m:t>=</m:t>
            </m:r>
            <m:r>
              <m:rPr>
                <m:sty m:val="p"/>
              </m:rPr>
              <m:t>15.7</m:t>
            </m:r>
          </m:e>
        </m:box>
      </m:oMath>
      <w:r>
        <w:t xml:space="preserve">, </w:t>
      </w:r>
      <m:oMath>
        <m:box>
          <m:e>
            <m:r>
              <m:rPr>
                <m:sty m:val="i"/>
              </m:rPr>
              <m:t>P</m:t>
            </m:r>
            <m:r>
              <m:rPr>
                <m:sty m:val="p"/>
              </m:rPr>
              <m:t>=</m:t>
            </m:r>
            <m:r>
              <m:rPr>
                <m:sty m:val="p"/>
              </m:rPr>
              <m:t>0.23</m:t>
            </m:r>
          </m:e>
        </m:box>
      </m:oMath>
      <w:r>
        <w:t xml:space="preserve">), Model 4 (nerve blocks; </w:t>
      </w:r>
      <m:oMath>
        <m:box>
          <m:e>
            <m:r>
              <m:rPr>
                <m:sty m:val="i"/>
              </m:rPr>
              <m:t>P</m:t>
            </m:r>
            <m:r>
              <m:rPr>
                <m:sty m:val="p"/>
              </m:rPr>
              <m:t>=</m:t>
            </m:r>
            <m:r>
              <m:rPr>
                <m:sty m:val="p"/>
              </m:rPr>
              <m:t>0.86</m:t>
            </m:r>
          </m:e>
        </m:box>
      </m:oMath>
      <w:r>
        <w:t xml:space="preserve">), and Model 5 (integrated; </w:t>
      </w:r>
      <m:oMath>
        <m:box>
          <m:e>
            <m:r>
              <m:rPr>
                <m:sty m:val="i"/>
              </m:rPr>
              <m:t>β</m:t>
            </m:r>
            <m:r>
              <m:rPr>
                <m:sty m:val="p"/>
              </m:rPr>
              <m:t>=</m:t>
            </m:r>
            <m:r>
              <m:rPr>
                <m:sty m:val="p"/>
              </m:rPr>
              <m:t>31.5</m:t>
            </m:r>
          </m:e>
        </m:box>
      </m:oMath>
      <w:r>
        <w:t xml:space="preserve">, </w:t>
      </w:r>
      <m:oMath>
        <m:box>
          <m:e>
            <m:r>
              <m:rPr>
                <m:sty m:val="i"/>
              </m:rPr>
              <m:t>P</m:t>
            </m:r>
            <m:r>
              <m:rPr>
                <m:sty m:val="p"/>
              </m:rPr>
              <m:t>=</m:t>
            </m:r>
            <m:r>
              <m:rPr>
                <m:sty m:val="p"/>
              </m:rPr>
              <m:t>0.15</m:t>
            </m:r>
          </m:e>
        </m:box>
      </m:oMath>
      <w:r>
        <w:t>;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 xml:space="preserve">Tohoku </w:t>
            </w:r>
            <m:oMath>
              <m:box>
                <m:e>
                  <m:r>
                    <m:rPr>
                      <m:sty m:val="i"/>
                    </m:rPr>
                    <m:t>β</m:t>
                  </m:r>
                </m:e>
              </m:box>
            </m:oMath>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m:oMath>
              <m:box>
                <m:e>
                  <m:r>
                    <m:rPr>
                      <m:sty m:val="i"/>
                    </m:rPr>
                    <m:t>d</m:t>
                  </m:r>
                  <m:r>
                    <m:rPr>
                      <m:sty m:val="p"/>
                    </m:rPr>
                    <m:t>=</m:t>
                  </m:r>
                  <m:r>
                    <m:rPr>
                      <m:sty m:val="p"/>
                    </m:rPr>
                    <m:t>2.81</m:t>
                  </m:r>
                </m:e>
              </m:box>
            </m:oMath>
          </w:p>
        </w:tc>
        <w:tc>
          <w:tcPr>
            <w:tcW w:type="dxa" w:w="1701"/>
          </w:tcPr>
          <w:p>
            <m:oMath>
              <m:box>
                <m:e>
                  <m:r>
                    <m:rPr>
                      <m:sty m:val="i"/>
                    </m:rPr>
                    <m:t>P</m:t>
                  </m:r>
                  <m:r>
                    <m:rPr>
                      <m:sty m:val="p"/>
                    </m:rPr>
                    <m:t>&lt;</m:t>
                  </m:r>
                  <m:r>
                    <m:rPr>
                      <m:sty m:val="p"/>
                    </m:rPr>
                    <m:t>0.001</m:t>
                  </m:r>
                </m:e>
              </m:box>
            </m:oMath>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m:oMath>
              <m:box>
                <m:e>
                  <m:sSup>
                    <m:e>
                      <m:r>
                        <m:rPr>
                          <m:sty m:val="i"/>
                        </m:rPr>
                        <m:t>R</m:t>
                      </m:r>
                    </m:e>
                    <m:sup>
                      <m:r>
                        <m:rPr>
                          <m:sty m:val="p"/>
                        </m:rPr>
                        <m:t>2</m:t>
                      </m:r>
                    </m:sup>
                  </m:sSup>
                  <m:r>
                    <m:rPr>
                      <m:sty m:val="p"/>
                    </m:rPr>
                    <m:t>=</m:t>
                  </m:r>
                  <m:r>
                    <m:rPr>
                      <m:sty m:val="p"/>
                    </m:rPr>
                    <m:t>0.814</m:t>
                  </m:r>
                </m:e>
              </m:box>
            </m:oMath>
          </w:p>
        </w:tc>
        <w:tc>
          <w:tcPr>
            <w:tcW w:type="dxa" w:w="1701"/>
          </w:tcP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m:oMath>
              <m:box>
                <m:e>
                  <m:sSup>
                    <m:e>
                      <m:r>
                        <m:rPr>
                          <m:sty m:val="i"/>
                        </m:rPr>
                        <m:t>R</m:t>
                      </m:r>
                    </m:e>
                    <m:sup>
                      <m:r>
                        <m:rPr>
                          <m:sty m:val="p"/>
                        </m:rPr>
                        <m:t>2</m:t>
                      </m:r>
                    </m:sup>
                  </m:sSup>
                  <m:r>
                    <m:rPr>
                      <m:sty m:val="p"/>
                    </m:rPr>
                    <m:t>=</m:t>
                  </m:r>
                  <m:r>
                    <m:rPr>
                      <m:sty m:val="p"/>
                    </m:rPr>
                    <m:t>0.811</m:t>
                  </m:r>
                </m:e>
              </m:box>
            </m:oMath>
          </w:p>
        </w:tc>
        <w:tc>
          <w:tcPr>
            <w:tcW w:type="dxa" w:w="1701"/>
          </w:tcP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m:oMath>
              <m:box>
                <m:e>
                  <m:sSup>
                    <m:e>
                      <m:r>
                        <m:rPr>
                          <m:sty m:val="i"/>
                        </m:rPr>
                        <m:t>R</m:t>
                      </m:r>
                    </m:e>
                    <m:sup>
                      <m:r>
                        <m:rPr>
                          <m:sty m:val="p"/>
                        </m:rPr>
                        <m:t>2</m:t>
                      </m:r>
                    </m:sup>
                  </m:sSup>
                  <m:r>
                    <m:rPr>
                      <m:sty m:val="p"/>
                    </m:rPr>
                    <m:t>=</m:t>
                  </m:r>
                  <m:r>
                    <m:rPr>
                      <m:sty m:val="p"/>
                    </m:rPr>
                    <m:t>0.145</m:t>
                  </m:r>
                </m:e>
              </m:box>
            </m:oMath>
          </w:p>
        </w:tc>
        <w:tc>
          <w:tcPr>
            <w:tcW w:type="dxa" w:w="1701"/>
          </w:tcP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m:oMath>
              <m:box>
                <m:e>
                  <m:sSup>
                    <m:e>
                      <m:r>
                        <m:rPr>
                          <m:sty m:val="i"/>
                        </m:rPr>
                        <m:t>R</m:t>
                      </m:r>
                    </m:e>
                    <m:sup>
                      <m:r>
                        <m:rPr>
                          <m:sty m:val="p"/>
                        </m:rPr>
                        <m:t>2</m:t>
                      </m:r>
                    </m:sup>
                  </m:sSup>
                  <m:r>
                    <m:rPr>
                      <m:sty m:val="p"/>
                    </m:rPr>
                    <m:t>=</m:t>
                  </m:r>
                  <m:r>
                    <m:rPr>
                      <m:sty m:val="p"/>
                    </m:rPr>
                    <m:t>0.832</m:t>
                  </m:r>
                </m:e>
              </m:box>
            </m:oMath>
          </w:p>
        </w:tc>
        <w:tc>
          <w:tcPr>
            <w:tcW w:type="dxa" w:w="1701"/>
          </w:tcPr>
          <w:p/>
        </w:tc>
      </w:tr>
    </w:tbl>
    <w:p/>
    <w:p>
      <w:r>
        <w:t xml:space="preserve">The adjusted neuropathic pain prescribing index showed a markedly different geographic pattern from the unadjusted data. The Tohoku mean shifted from markedly positive to a modest, nonsignificant excess (+12.4 vs -1.8; </w:t>
      </w:r>
      <m:oMath>
        <m:box>
          <m:e>
            <m:r>
              <m:rPr>
                <m:sty m:val="i"/>
              </m:rPr>
              <m:t>P</m:t>
            </m:r>
            <m:r>
              <m:rPr>
                <m:sty m:val="p"/>
              </m:rPr>
              <m:t>=</m:t>
            </m:r>
            <m:r>
              <m:rPr>
                <m:sty m:val="p"/>
              </m:rPr>
              <m:t>0.32</m:t>
            </m:r>
          </m:e>
        </m:box>
      </m:oMath>
      <w:r>
        <w:t xml:space="preserve">; </w:t>
      </w:r>
      <m:oMath>
        <m:box>
          <m:e>
            <m:r>
              <m:rPr>
                <m:sty m:val="i"/>
              </m:rPr>
              <m:t>d</m:t>
            </m:r>
            <m:r>
              <m:rPr>
                <m:sty m:val="p"/>
              </m:rPr>
              <m:t>=</m:t>
            </m:r>
            <m:r>
              <m:rPr>
                <m:sty m:val="p"/>
              </m:rPr>
              <m:t>0.44</m:t>
            </m:r>
          </m:e>
        </m:box>
      </m:oMath>
      <w:r>
        <w:t>; Figure 3). Chugoku emerged as having the highest adjusted index, while Tokai had the lowest.</w:t>
      </w:r>
    </w:p>
    <w:p>
      <w:pPr>
        <w:spacing w:before="240" w:after="240"/>
        <w:jc w:val="center"/>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w:t>
      </w:r>
      <m:oMath>
        <m:box>
          <m:e>
            <m:r>
              <m:rPr>
                <m:sty m:val="i"/>
              </m:rPr>
              <m:t>r</m:t>
            </m:r>
            <m:r>
              <m:rPr>
                <m:sty m:val="p"/>
              </m:rPr>
              <m:t>=</m:t>
            </m:r>
            <m:r>
              <m:rPr>
                <m:sty m:val="p"/>
              </m:rPr>
              <m:t>0.38</m:t>
            </m:r>
          </m:e>
        </m:box>
      </m:oMath>
      <w:r>
        <w:t xml:space="preserve">, </w:t>
      </w:r>
      <m:oMath>
        <m:box>
          <m:e>
            <m:r>
              <m:rPr>
                <m:sty m:val="i"/>
              </m:rPr>
              <m:t>P</m:t>
            </m:r>
            <m:r>
              <m:rPr>
                <m:sty m:val="p"/>
              </m:rPr>
              <m:t>=</m:t>
            </m:r>
            <m:r>
              <m:rPr>
                <m:sty m:val="p"/>
              </m:rPr>
              <m:t>0.008</m:t>
            </m:r>
          </m:e>
        </m:box>
      </m:oMath>
      <w:r>
        <w:t>). After confounder adjustment, this correlation was attenuated (</w:t>
      </w:r>
      <m:oMath>
        <m:box>
          <m:e>
            <m:r>
              <m:rPr>
                <m:sty m:val="i"/>
              </m:rPr>
              <m:t>r</m:t>
            </m:r>
            <m:r>
              <m:rPr>
                <m:sty m:val="p"/>
              </m:rPr>
              <m:t>=</m:t>
            </m:r>
            <m:r>
              <m:rPr>
                <m:sty m:val="p"/>
              </m:rPr>
              <m:t>0.28</m:t>
            </m:r>
          </m:e>
        </m:box>
      </m:oMath>
      <w:r>
        <w:t xml:space="preserve">, </w:t>
      </w:r>
      <m:oMath>
        <m:box>
          <m:e>
            <m:r>
              <m:rPr>
                <m:sty m:val="i"/>
              </m:rPr>
              <m:t>P</m:t>
            </m:r>
            <m:r>
              <m:rPr>
                <m:sty m:val="p"/>
              </m:rPr>
              <m:t>=</m:t>
            </m:r>
            <m:r>
              <m:rPr>
                <m:sty m:val="p"/>
              </m:rPr>
              <m:t>0.052</m:t>
            </m:r>
          </m:e>
        </m:box>
      </m:oMath>
      <w:r>
        <w:t>). In Model 5, the acute pain index remained independently associated with chronic neuropathic pain prescribing (</w:t>
      </w:r>
      <m:oMath>
        <m:box>
          <m:e>
            <m:r>
              <m:rPr>
                <m:sty m:val="i"/>
              </m:rPr>
              <m:t>β</m:t>
            </m:r>
            <m:r>
              <m:rPr>
                <m:sty m:val="p"/>
              </m:rPr>
              <m:t>=</m:t>
            </m:r>
            <m:r>
              <m:rPr>
                <m:sty m:val="p"/>
              </m:rPr>
              <m:t>1.90</m:t>
            </m:r>
          </m:e>
        </m:box>
      </m:oMath>
      <w:r>
        <w:t xml:space="preserve">, </w:t>
      </w:r>
      <m:oMath>
        <m:box>
          <m:e>
            <m:r>
              <m:rPr>
                <m:sty m:val="i"/>
              </m:rPr>
              <m:t>P</m:t>
            </m:r>
            <m:r>
              <m:rPr>
                <m:sty m:val="p"/>
              </m:rPr>
              <m:t>=</m:t>
            </m:r>
            <m:r>
              <m:rPr>
                <m:sty m:val="p"/>
              </m:rPr>
              <m:t>0.044</m:t>
            </m:r>
          </m:e>
        </m:box>
      </m:oMath>
      <w:r>
        <w:t>), while the Tohoku effect remained nonsignificant (</w:t>
      </w:r>
      <m:oMath>
        <m:box>
          <m:e>
            <m:r>
              <m:rPr>
                <m:sty m:val="i"/>
              </m:rPr>
              <m:t>β</m:t>
            </m:r>
            <m:r>
              <m:rPr>
                <m:sty m:val="p"/>
              </m:rPr>
              <m:t>=</m:t>
            </m:r>
            <m:r>
              <m:rPr>
                <m:sty m:val="p"/>
              </m:rPr>
              <m:t>31.5</m:t>
            </m:r>
          </m:e>
        </m:box>
      </m:oMath>
      <w:r>
        <w:t xml:space="preserve">, </w:t>
      </w:r>
      <m:oMath>
        <m:box>
          <m:e>
            <m:r>
              <m:rPr>
                <m:sty m:val="i"/>
              </m:rPr>
              <m:t>P</m:t>
            </m:r>
            <m:r>
              <m:rPr>
                <m:sty m:val="p"/>
              </m:rPr>
              <m:t>=</m:t>
            </m:r>
            <m:r>
              <m:rPr>
                <m:sty m:val="p"/>
              </m:rPr>
              <m:t>0.15</m:t>
            </m:r>
          </m:e>
        </m:box>
      </m:oMath>
      <w:r>
        <w:t>).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The geographic pattern differed from the crude index: Tohoku’s inpatient analgesic SCR (97.0) was below the non-Tohoku mean (101.0), whereas Hokkaido and Kyushu-Okinawa were the highest. Outpatient neuropathic pain drug SCR ranged from 74.7 to 152.0 (2.04-fold), and Tohoku remained elevated (mean 126.3 vs 96.3 for non-Tohoku), consistent with the crude analysis.</w:t>
      </w:r>
    </w:p>
    <w:p>
      <w:pPr>
        <w:pStyle w:val="Heading1"/>
      </w:pPr>
      <w:r>
        <w:rPr>
          <w:rFonts w:ascii="Times New Roman" w:hAnsi="Times New Roman"/>
          <w:color w:val="000000"/>
        </w:rPr>
        <w:t>Discussion</w:t>
      </w:r>
    </w:p>
    <w:p>
      <w:r>
        <w:t>To our knowledge, this is the first study to map perioperative and chronic pain-related prescribing across all 47 prefectures of Japan, using freely available NDB Open Data that capture virtually all reimbursed healthcare use. Taken together, the findings do not support the idea that a single cultural label reliably indicates analgesic prescribing. Three principal findings carry implications for clinicians and pharmaceutical policy.</w:t>
      </w:r>
    </w:p>
    <w:p>
      <w:pPr>
        <w:pStyle w:val="Heading2"/>
      </w:pPr>
      <w:r>
        <w:rPr>
          <w:rFonts w:ascii="Times New Roman" w:hAnsi="Times New Roman"/>
          <w:color w:val="000000"/>
        </w:rPr>
        <w:t>Within-country heterogeneity challenges cultural stereotypes</w:t>
      </w:r>
    </w:p>
    <w:p>
      <w:r>
        <w:t>Despite Japan’s well-documented cultural stoicism (Feng et al., 2017; Hobara, 2005), we found 1.97-fold variation in acute perioperative analgesic prescribing. This parallels Cohen et al. (1996), who showed that the US “culture of honour” produces regional behavioural differences within a single nation. Japan’s pain culture is not monolithic; regional demographics, healthcare infrastructure, and clinical practices generate heterogeneity beyond what a single national label can capture. The crude Tohoku excess in perioperative analgesic prescribing was attenuated after age-sex standardisation, indicating that demographic structure contributes to regional differences. Thus the data do not warrant a simple cultural interpretation.</w:t>
      </w:r>
    </w:p>
    <w:p>
      <w:pPr>
        <w:pStyle w:val="Heading2"/>
      </w:pPr>
      <w:r>
        <w:rPr>
          <w:rFonts w:ascii="Times New Roman" w:hAnsi="Times New Roman"/>
          <w:color w:val="000000"/>
        </w:rPr>
        <w:t>Implications for clinical practice</w:t>
      </w:r>
    </w:p>
    <w:p>
      <w:r>
        <w:t>The 1.97-fold within-Japan variation is relevant for any physician who writes an analgesic prescription—not only pain specialists but also surgeons, internists, and general practitioners. Evidence suggests that cultural stereotypes influence clinician pain assessment and prescribing behaviour. Anderson et al. (2009) showed that racial and ethnic minorities in the United States consistently receive less adequate pain management across acute, chronic, cancer, and palliative settings. Campbell and Edwards (2012) identified that clinician expectations about a patient’s cultural pain behaviour can lead to systematic under- or over-treatment. Rogger et al. (2023) emphasised that cultural framing affects not only patient reporting but also how clinicians interpret and respond to pain cues.</w:t>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 Yet this “hegemony of homogeneity,” as Befu (2001) termed it, is an ideological construct rather than an empirical fact. Burgess (2010) showed that the “illusion” of homogeneous Japan has tangible consequences for social policy and public perception. In the clinical context, the combination of two stereotypes—“Japanese are stoic” and “Japanese are homogeneous”—creates a doubly misleading assumption: that all Japanese patients will tolerate pain equally and require less analgesia. Our finding of 1.97-fold within-Japan variation does not support this assumption. If this degree of heterogeneity exists within a society widely regarded as culturally uniform, broad cultural labels are likely to be equally unreliable in other national pain contexts.</w:t>
      </w:r>
    </w:p>
    <w:p>
      <w:r>
        <w:t>Pain is an inherently subjective experience. The revised definition from the International Association for the Study of Pain (IASP) describes it as “an unpleasant sensory and emotional experience associated with, or resembling that associated with, actual or potential tissue damage” (Raja et al., 2020); a cultural label cannot substitute for individual assessment. Put simply, these ecological data do not support using nationality or region as a basis for inferring analgesic requirement; prescribing decisions should be individualised.</w:t>
      </w:r>
    </w:p>
    <w:p>
      <w:pPr>
        <w:pStyle w:val="Heading2"/>
      </w:pPr>
      <w:r>
        <w:rPr>
          <w:rFonts w:ascii="Times New Roman" w:hAnsi="Times New Roman"/>
          <w:color w:val="000000"/>
        </w:rPr>
        <w:t>Policy implications</w:t>
      </w:r>
    </w:p>
    <w:p>
      <w:r>
        <w:t>These findings also have implications for pharmaceutical policy. Japan’s uniform national fee schedule and reimbursement rules are intended to reduce unwarranted variation, yet we observed nearly twofold variation in acute analgesic intensity and larger variation in neuropathic pain prescribing. Distinguishing warranted variation (driven by clinical need and comorbidity) from unwarranted variation (driven by prescriber habit or formulary access) is essential. Future policy could include routine feedback on within-region prescribing, adherence to perioperative analgesic protocols, and regional benchmarking to ensure equitable access to pain management. Japan’s NDB Open Data can support routine post-market surveillance of analgesic utilisation and help identify regions where apparently high or low prescribing warrants further investigation before policy interventions are designed.</w:t>
      </w:r>
    </w:p>
    <w:p>
      <w:pPr>
        <w:pStyle w:val="Heading2"/>
      </w:pPr>
      <w:r>
        <w:rPr>
          <w:rFonts w:ascii="Times New Roman" w:hAnsi="Times New Roman"/>
          <w:color w:val="000000"/>
        </w:rPr>
        <w:t>Confounders account for Tohoku’s apparent excess</w:t>
      </w:r>
    </w:p>
    <w:p>
      <w:r>
        <w:t xml:space="preserve">The most important methodological finding is that the large regional variation in neuropathic pain prescribing (unadjusted </w:t>
      </w:r>
      <m:oMath>
        <m:box>
          <m:e>
            <m:r>
              <m:rPr>
                <m:sty m:val="i"/>
              </m:rPr>
              <m:t>d</m:t>
            </m:r>
            <m:r>
              <m:rPr>
                <m:sty m:val="p"/>
              </m:rPr>
              <m:t>=</m:t>
            </m:r>
            <m:r>
              <m:rPr>
                <m:sty m:val="p"/>
              </m:rPr>
              <m:t>2.81</m:t>
            </m:r>
          </m:e>
        </m:box>
      </m:oMath>
      <w:r>
        <w:t xml:space="preserve"> for Tohoku vs rest) was largely accounted for by comorbidity proxies. Diabetes drug prescribing alone correlated at </w:t>
      </w:r>
      <m:oMath>
        <m:box>
          <m:e>
            <m:r>
              <m:rPr>
                <m:sty m:val="i"/>
              </m:rPr>
              <m:t>r</m:t>
            </m:r>
            <m:r>
              <m:rPr>
                <m:sty m:val="p"/>
              </m:rPr>
              <m:t>=</m:t>
            </m:r>
            <m:r>
              <m:rPr>
                <m:sty m:val="p"/>
              </m:rPr>
              <m:t>0.87</m:t>
            </m:r>
          </m:e>
        </m:box>
      </m:oMath>
      <w:r>
        <w:t xml:space="preserve"> with neuropathic pain prescribing, reflecting the known high burden of diabetic neuropathy treated with gabapentinoids. After adjustment, the Tohoku effect was attenuated by 84% and became nonsignificant. This has important implications for ecological pain research: studies using neuropathic pain drug prescribing as a population-level proxy for chronic neuropathic pain-related prescribing must account for comorbidity proxies. Without such adjustment, regional differences in diabetic neuropathy burden could be misinterpreted as differences in postsurgical neuropathic pain. The within-database adjustment demonstrated here—using disease-specific drug proxies from the same data source—provides a replicable approach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w:t>
      </w:r>
      <m:oMath>
        <m:box>
          <m:e>
            <m:r>
              <m:rPr>
                <m:sty m:val="i"/>
              </m:rPr>
              <m:t>r</m:t>
            </m:r>
            <m:r>
              <m:rPr>
                <m:sty m:val="p"/>
              </m:rPr>
              <m:t>=</m:t>
            </m:r>
            <m:r>
              <m:rPr>
                <m:sty m:val="p"/>
              </m:rPr>
              <m:t>0.28</m:t>
            </m:r>
          </m:e>
        </m:box>
      </m:oMath>
      <w:r>
        <w:t xml:space="preserve">, </w:t>
      </w:r>
      <m:oMath>
        <m:box>
          <m:e>
            <m:r>
              <m:rPr>
                <m:sty m:val="i"/>
              </m:rPr>
              <m:t>P</m:t>
            </m:r>
            <m:r>
              <m:rPr>
                <m:sty m:val="p"/>
              </m:rPr>
              <m:t>=</m:t>
            </m:r>
            <m:r>
              <m:rPr>
                <m:sty m:val="p"/>
              </m:rPr>
              <m:t>0.052</m:t>
            </m:r>
          </m:e>
        </m:box>
      </m:oMath>
      <w:r>
        <w:t>) suggests an association between regional acute pain management intensity and chronic pain-related prescribing recorded in the same period. While the cross-sectional design cannot determine temporal order, this ecological association is consistent with individual-level evidence that greater acute postoperative pain is associated with a higher risk of chronic postsurgical pain (CPSP) (Kehlet et al., 2006). The contribution of the acute pain index in Model 5 (</w:t>
      </w:r>
      <m:oMath>
        <m:box>
          <m:e>
            <m:r>
              <m:rPr>
                <m:sty m:val="i"/>
              </m:rPr>
              <m:t>β</m:t>
            </m:r>
            <m:r>
              <m:rPr>
                <m:sty m:val="p"/>
              </m:rPr>
              <m:t>=</m:t>
            </m:r>
            <m:r>
              <m:rPr>
                <m:sty m:val="p"/>
              </m:rPr>
              <m:t>1.90</m:t>
            </m:r>
          </m:e>
        </m:box>
      </m:oMath>
      <w:r>
        <w:t xml:space="preserve">, </w:t>
      </w:r>
      <m:oMath>
        <m:box>
          <m:e>
            <m:r>
              <m:rPr>
                <m:sty m:val="i"/>
              </m:rPr>
              <m:t>P</m:t>
            </m:r>
            <m:r>
              <m:rPr>
                <m:sty m:val="p"/>
              </m:rPr>
              <m:t>=</m:t>
            </m:r>
            <m:r>
              <m:rPr>
                <m:sty m:val="p"/>
              </m:rPr>
              <m:t>0.044</m:t>
            </m:r>
          </m:e>
        </m:box>
      </m:oMath>
      <w:r>
        <w:t>), after adjustment for confounders, raises the possibility that acute pain management patterns are statistically linked to observed chronic prescribing, but it does not demonstrate a causal pathway.</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reduces the role of outpatient healthcare access as a confounder (all Phase 1 patients are inpatients by definition).</w:t>
      </w:r>
    </w:p>
    <w:p>
      <w:r>
        <w:t>The main limitations are inherent to the ecological design. The unit of analysis is the prefecture, not the individual patient; ecological correlations may not reflect individual-level associations (ecological fallacy). NDB Open Data lack diagnosis codes, so the neuropathic pain drug proxy captures all indications, not CPSP specifically. Unmeasured confounders such as surgical case mix, physician density, and regional prescribing culture may contribute to residual variation.</w:t>
      </w:r>
    </w:p>
    <w:p>
      <w:pPr>
        <w:pStyle w:val="Heading1"/>
      </w:pPr>
      <w:r>
        <w:rPr>
          <w:rFonts w:ascii="Times New Roman" w:hAnsi="Times New Roman"/>
          <w:color w:val="000000"/>
        </w:rPr>
        <w:t>Conclusion</w:t>
      </w:r>
    </w:p>
    <w:p>
      <w:r>
        <w:t>Cultural labels alone are not a reliable guide to analgesic prescribing. Crude acute perioperative prescribing varied 1.97-fold across prefectures, but the unadjusted Tohoku excess was attenuated after age-sex standardisation and adjustment for comorbidity proxies. Outpatient neuropathic pain prescribing showed even larger variation (2.73-fold unadjusted, 2.04-fold after age-sex standardisation), much of which was accounted for by confounding disease burden. Clinicians and policymakers should avoid assuming that regional or national identity is a reliable indicator of analgesic requirement; individualised pain assessment remains essential.</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is the guarantor.</w:t>
      </w:r>
    </w:p>
    <w:p/>
    <w:p>
      <w:pPr>
        <w:pStyle w:val="Heading1"/>
      </w:pPr>
      <w:r>
        <w:rPr>
          <w:rFonts w:ascii="Times New Roman" w:hAnsi="Times New Roman"/>
          <w:color w:val="000000"/>
        </w:rPr>
        <w:t>Funding</w:t>
      </w:r>
    </w:p>
    <w:p>
      <w:r>
        <w:t>None.</w:t>
      </w:r>
    </w:p>
    <w:p/>
    <w:p>
      <w:pPr>
        <w:pStyle w:val="Heading1"/>
      </w:pPr>
      <w:r>
        <w:rPr>
          <w:rFonts w:ascii="Times New Roman" w:hAnsi="Times New Roman"/>
          <w:color w:val="000000"/>
        </w:rPr>
        <w:t>Disclosure statement</w:t>
      </w:r>
    </w:p>
    <w:p>
      <w:r>
        <w:t>The author reports no conflicts of interest.</w:t>
      </w:r>
    </w:p>
    <w:p/>
    <w:p>
      <w:pPr>
        <w:pStyle w:val="Heading1"/>
      </w:pPr>
      <w:r>
        <w:rPr>
          <w:rFonts w:ascii="Times New Roman" w:hAnsi="Times New Roman"/>
          <w:color w:val="000000"/>
        </w:rPr>
        <w:t>Ethics approval</w:t>
      </w:r>
    </w:p>
    <w:p>
      <w:r>
        <w:t>This study used only publicly available aggregate data from the NDB Open Data. Ethical approval was not required under Japan’s Ethical Guidelines for Medical and Biological Research Involving Human Subjects.</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p>
      <w:pPr>
        <w:pStyle w:val="Heading1"/>
      </w:pPr>
      <w:r>
        <w:rPr>
          <w:rFonts w:ascii="Times New Roman" w:hAnsi="Times New Roman"/>
          <w:color w:val="000000"/>
        </w:rPr>
        <w:t>References</w:t>
      </w:r>
    </w:p>
    <w:p>
      <w:pPr>
        <w:ind w:left="720" w:hanging="720"/>
      </w:pPr>
      <w:r>
        <w:t xml:space="preserve">Anderson, K. O., Green, C. R., &amp; Payne, R. (2009). Racial and ethnic disparities in pain: Causes and consequences of unequal care. </w:t>
      </w:r>
      <w:r>
        <w:rPr>
          <w:i/>
        </w:rPr>
        <w:t>The Journal of Pain</w:t>
      </w:r>
      <w:r>
        <w:t xml:space="preserve">, </w:t>
      </w:r>
      <w:r>
        <w:rPr>
          <w:i/>
        </w:rPr>
        <w:t>10</w:t>
      </w:r>
      <w:r>
        <w:t>(12), 1187–1204. https://doi.org/10.1016/j.jpain.2009.10.002</w:t>
      </w:r>
    </w:p>
    <w:p>
      <w:pPr>
        <w:ind w:left="720" w:hanging="720"/>
      </w:pPr>
      <w:r>
        <w:t xml:space="preserve">Befu, H. (2001). </w:t>
      </w:r>
      <w:r>
        <w:rPr>
          <w:i/>
        </w:rPr>
        <w:t>Hegemony of homogeneity: An anthropological analysis of Nihonjinron</w:t>
      </w:r>
      <w:r>
        <w:t>. Trans Pacific Press.</w:t>
      </w:r>
    </w:p>
    <w:p>
      <w:pPr>
        <w:ind w:left="720" w:hanging="720"/>
      </w:pPr>
      <w:r>
        <w:t xml:space="preserve">Benchimol, E. I., Smeeth, L., Guttmann, A., Harron, K., Moher, D., Petersen, I., Sørensen, H. T., von Elm, E., Langan, S. M., &amp; RECORD Working Committee. (2015). The REporting of studies Conducted using Observational Routinely-collected health Data (RECORD) Statement. </w:t>
      </w:r>
      <w:r>
        <w:rPr>
          <w:i/>
        </w:rPr>
        <w:t>PLoS Medicine</w:t>
      </w:r>
      <w:r>
        <w:t xml:space="preserve">, </w:t>
      </w:r>
      <w:r>
        <w:rPr>
          <w:i/>
        </w:rPr>
        <w:t>12</w:t>
      </w:r>
      <w:r>
        <w:t>(10), Article e1001885. https://doi.org/10.1371/journal.pmed.1001885</w:t>
      </w:r>
    </w:p>
    <w:p>
      <w:pPr>
        <w:ind w:left="720" w:hanging="720"/>
      </w:pPr>
      <w:r>
        <w:t xml:space="preserve">Burgess, C. (2010). The "illusion" of homogeneous Japan and national character: Discourse as a tool to transcend the "myth" vs. "reality" binary. </w:t>
      </w:r>
      <w:r>
        <w:rPr>
          <w:i/>
        </w:rPr>
        <w:t>Asia-Pacific Journal</w:t>
      </w:r>
      <w:r>
        <w:t xml:space="preserve">, </w:t>
      </w:r>
      <w:r>
        <w:rPr>
          <w:i/>
        </w:rPr>
        <w:t>8</w:t>
      </w:r>
      <w:r>
        <w:t>(9), 1–22. https://doi.org/10.1017/s1557466010009381</w:t>
      </w:r>
    </w:p>
    <w:p>
      <w:pPr>
        <w:ind w:left="720" w:hanging="720"/>
      </w:pPr>
      <w:r>
        <w:t xml:space="preserve">Callister, L. C. (2003). Cultural influences on pain perceptions and behaviors. </w:t>
      </w:r>
      <w:r>
        <w:rPr>
          <w:i/>
        </w:rPr>
        <w:t>Home Health Care Management &amp; Practice</w:t>
      </w:r>
      <w:r>
        <w:t xml:space="preserve">, </w:t>
      </w:r>
      <w:r>
        <w:rPr>
          <w:i/>
        </w:rPr>
        <w:t>15</w:t>
      </w:r>
      <w:r>
        <w:t>(3), 207–211. https://doi.org/10.1177/1084822302250687</w:t>
      </w:r>
    </w:p>
    <w:p>
      <w:pPr>
        <w:ind w:left="720" w:hanging="720"/>
      </w:pPr>
      <w:r>
        <w:t xml:space="preserve">Campbell, C. M., &amp; Edwards, R. R. (2012). Ethnic differences in pain and pain management. </w:t>
      </w:r>
      <w:r>
        <w:rPr>
          <w:i/>
        </w:rPr>
        <w:t>Pain Management</w:t>
      </w:r>
      <w:r>
        <w:t xml:space="preserve">, </w:t>
      </w:r>
      <w:r>
        <w:rPr>
          <w:i/>
        </w:rPr>
        <w:t>2</w:t>
      </w:r>
      <w:r>
        <w:t>(3), 219–230. https://doi.org/10.2217/pmt.12.7</w:t>
      </w:r>
    </w:p>
    <w:p>
      <w:pPr>
        <w:ind w:left="720" w:hanging="720"/>
      </w:pPr>
      <w:r>
        <w:t xml:space="preserve">Cohen, D., Nisbett, R. E., Bowdle, B. F., &amp; Schwarz, N. (1996). Insult, aggression, and the southern culture of honor: An "experimental ethnography." </w:t>
      </w:r>
      <w:r>
        <w:rPr>
          <w:i/>
        </w:rPr>
        <w:t>Journal of Personality and Social Psychology</w:t>
      </w:r>
      <w:r>
        <w:t xml:space="preserve">, </w:t>
      </w:r>
      <w:r>
        <w:rPr>
          <w:i/>
        </w:rPr>
        <w:t>70</w:t>
      </w:r>
      <w:r>
        <w:t>(5), 945–960. https://doi.org/10.1037/0022-3514.70.5.945</w:t>
      </w:r>
    </w:p>
    <w:p>
      <w:pPr>
        <w:ind w:left="720" w:hanging="720"/>
      </w:pPr>
      <w:r>
        <w:t xml:space="preserve">Feng, Y., Herdman, M., van Nooten, F., Cleeland, C., Parkin, D., Ikeda, S., Igarashi, A., &amp; Devlin, N. J. (2017). An exploration of differences between Japan and two European countries in the self-reporting and valuation of pain and discomfort on the EQ-5D. </w:t>
      </w:r>
      <w:r>
        <w:rPr>
          <w:i/>
        </w:rPr>
        <w:t>Quality of Life Research</w:t>
      </w:r>
      <w:r>
        <w:t xml:space="preserve">, </w:t>
      </w:r>
      <w:r>
        <w:rPr>
          <w:i/>
        </w:rPr>
        <w:t>26</w:t>
      </w:r>
      <w:r>
        <w:t>(8), 2067–2078. https://doi.org/10.1007/s11136-017-1541-5</w:t>
      </w:r>
    </w:p>
    <w:p>
      <w:pPr>
        <w:ind w:left="720" w:hanging="720"/>
      </w:pPr>
      <w:r>
        <w:t xml:space="preserve">Hobara, M. (2005). Beliefs about appropriate pain behavior: Cross-cultural and sex differences between Japanese and Euro-Americans. </w:t>
      </w:r>
      <w:r>
        <w:rPr>
          <w:i/>
        </w:rPr>
        <w:t>European Journal of Pain</w:t>
      </w:r>
      <w:r>
        <w:t xml:space="preserve">, </w:t>
      </w:r>
      <w:r>
        <w:rPr>
          <w:i/>
        </w:rPr>
        <w:t>9</w:t>
      </w:r>
      <w:r>
        <w:t>(4), 389–393. https://doi.org/10.1016/j.ejpain.2004.09.006</w:t>
      </w:r>
    </w:p>
    <w:p>
      <w:pPr>
        <w:ind w:left="720" w:hanging="720"/>
      </w:pPr>
      <w:r>
        <w:t xml:space="preserve">Kehlet, H., Jensen, T. S., &amp; Woolf, C. J. (2006). Persistent postsurgical pain: Risk factors and prevention. </w:t>
      </w:r>
      <w:r>
        <w:rPr>
          <w:i/>
        </w:rPr>
        <w:t>The Lancet</w:t>
      </w:r>
      <w:r>
        <w:t xml:space="preserve">, </w:t>
      </w:r>
      <w:r>
        <w:rPr>
          <w:i/>
        </w:rPr>
        <w:t>367</w:t>
      </w:r>
      <w:r>
        <w:t>(9522), 1618–1625. https://doi.org/10.1016/S0140-6736(06)68700-X</w:t>
      </w:r>
    </w:p>
    <w:p>
      <w:pPr>
        <w:ind w:left="720" w:hanging="720"/>
      </w:pPr>
      <w:r>
        <w:t xml:space="preserve">Kumagai, S. (2020). メディアが再生産する東北像：『秘密のケンミンSHOW』での東北復興コーナーをめぐって [Media representations reproducing images of Tohoku: The Tohoku reconstruction corner in "Secret Kenmin SHOW"]. </w:t>
      </w:r>
      <w:r>
        <w:rPr>
          <w:i/>
        </w:rPr>
        <w:t>ことば</w:t>
      </w:r>
      <w:r>
        <w:t xml:space="preserve"> (Kotoba), </w:t>
      </w:r>
      <w:r>
        <w:rPr>
          <w:i/>
        </w:rPr>
        <w:t>41</w:t>
      </w:r>
      <w:r>
        <w:t>, 21–38. https://doi.org/10.20741/kotoba.41.0_21</w:t>
      </w:r>
    </w:p>
    <w:p>
      <w:pPr>
        <w:ind w:left="720" w:hanging="720"/>
      </w:pPr>
      <w:r>
        <w:t>Ministry of Health, Labour and Welfare. (n.d.). NDB Open Data, 10th edition. Retrieved January 15, 2025, from https://www.mhlw.go.jp/stf/seisakunitsuite/bunya/0000177221_00016.html</w:t>
      </w:r>
    </w:p>
    <w:p>
      <w:pPr>
        <w:ind w:left="720" w:hanging="720"/>
      </w:pPr>
      <w:r>
        <w:t xml:space="preserve">Okolo, C. A., Olorunsogo, T., &amp; Babawarun, O. (2024). Cultural variability in pain perception: A review of cross-cultural studies. </w:t>
      </w:r>
      <w:r>
        <w:rPr>
          <w:i/>
        </w:rPr>
        <w:t>International Journal of Science and Research Archive</w:t>
      </w:r>
      <w:r>
        <w:t xml:space="preserve">, </w:t>
      </w:r>
      <w:r>
        <w:rPr>
          <w:i/>
        </w:rPr>
        <w:t>11</w:t>
      </w:r>
      <w:r>
        <w:t>(1), 2550–2556. https://doi.org/10.30574/ijsra.2024.11.1.0339</w:t>
      </w:r>
    </w:p>
    <w:p>
      <w:pPr>
        <w:ind w:left="720" w:hanging="720"/>
      </w:pPr>
      <w:r>
        <w:t>Pfizer Japan Inc. (2017). 47-prefecture survey on chronic pain (2012 vs 2017 comparison) [in Japanese]. Research Research. https://www.lisalisa50.com/research20171014_2.html</w:t>
      </w:r>
    </w:p>
    <w:p>
      <w:pPr>
        <w:ind w:left="720" w:hanging="720"/>
      </w:pPr>
      <w:r>
        <w:t xml:space="preserve">Raja, S. N., Carr, D. B., Cohen, M., Finnerup, N. B., Flor, H., Gibson, S., Keefe, F. J., Mogil, J. S., Ringkamp, M., &amp; Sluka, K. A. (2020). The revised International Association for the Study of Pain definition of pain: Concepts, challenges, and compromises. </w:t>
      </w:r>
      <w:r>
        <w:rPr>
          <w:i/>
        </w:rPr>
        <w:t>Pain</w:t>
      </w:r>
      <w:r>
        <w:t xml:space="preserve">, </w:t>
      </w:r>
      <w:r>
        <w:rPr>
          <w:i/>
        </w:rPr>
        <w:t>161</w:t>
      </w:r>
      <w:r>
        <w:t>(9), 1976–1982. https://doi.org/10.1097/j.pain.0000000000001939</w:t>
      </w:r>
    </w:p>
    <w:p>
      <w:pPr>
        <w:ind w:left="720" w:hanging="720"/>
      </w:pPr>
      <w:r>
        <w:t xml:space="preserve">Rogger, R., Bello, C., Romero, C. S., Urman, R. D., Luedi, M. M., &amp; Filipovic, M. G. (2023). Cultural framing and the impact on acute pain and pain services. </w:t>
      </w:r>
      <w:r>
        <w:rPr>
          <w:i/>
        </w:rPr>
        <w:t>Current Pain and Headache Reports</w:t>
      </w:r>
      <w:r>
        <w:t xml:space="preserve">, </w:t>
      </w:r>
      <w:r>
        <w:rPr>
          <w:i/>
        </w:rPr>
        <w:t>27</w:t>
      </w:r>
      <w:r>
        <w:t>(9), 429–436. https://doi.org/10.1007/s11916-023-01125-2</w:t>
      </w:r>
    </w:p>
    <w:p>
      <w:pPr>
        <w:ind w:left="720" w:hanging="720"/>
      </w:pPr>
      <w:r>
        <w:t xml:space="preserve">Taira, K., Mori, T., Ishimaru, M., Iwagami, M., Sakata, N., Watanabe, T., Takahashi, H., &amp; Tamiya, N. (2021). Regional inequality in dental care utilization in Japan: An ecological study using the National Database of Health Insurance Claims. </w:t>
      </w:r>
      <w:r>
        <w:rPr>
          <w:i/>
        </w:rPr>
        <w:t>The Lancet Regional Health - Western Pacific</w:t>
      </w:r>
      <w:r>
        <w:t xml:space="preserve">, </w:t>
      </w:r>
      <w:r>
        <w:rPr>
          <w:i/>
        </w:rPr>
        <w:t>12</w:t>
      </w:r>
      <w:r>
        <w:t>, Article 100170. https://doi.org/10.1016/j.lanwpc.2021.100170</w:t>
      </w:r>
    </w:p>
    <w:p>
      <w:pPr>
        <w:ind w:left="720" w:hanging="720"/>
      </w:pPr>
      <w:r>
        <w:t xml:space="preserve">Takahashi, R., Miyashita, M., Nakazawa, Y., Wada, S., &amp; Matsuoka, Y. (2025). Population-based claims study of regional and hospital function differences in opioid prescribing for cancer patients who died in hospital in Japan. </w:t>
      </w:r>
      <w:r>
        <w:rPr>
          <w:i/>
        </w:rPr>
        <w:t>Japanese Journal of Clinical Oncology</w:t>
      </w:r>
      <w:r>
        <w:t xml:space="preserve">, </w:t>
      </w:r>
      <w:r>
        <w:rPr>
          <w:i/>
        </w:rPr>
        <w:t>55</w:t>
      </w:r>
      <w:r>
        <w:t>(12), 1372–1377. https://doi.org/10.1093/jjco/hyaf149</w:t>
      </w:r>
    </w:p>
    <w:p>
      <w:pPr>
        <w:ind w:left="720" w:hanging="720"/>
      </w:pPr>
      <w:r>
        <w:t xml:space="preserve">Takeda, K., &amp; Yarimizu, K. (2016). 痛みを表す言語表現ウズクの地域差 [Regional differences in the pain expression "uzuku"]. </w:t>
      </w:r>
      <w:r>
        <w:rPr>
          <w:i/>
        </w:rPr>
        <w:t>NINJAL Research Papers</w:t>
      </w:r>
      <w:r>
        <w:t xml:space="preserve">, </w:t>
      </w:r>
      <w:r>
        <w:rPr>
          <w:i/>
        </w:rPr>
        <w:t>10</w:t>
      </w:r>
      <w:r>
        <w:t>, 221–243. https://doi.org/10.15084/00000816</w:t>
      </w:r>
    </w:p>
    <w:p>
      <w:pPr>
        <w:ind w:left="720" w:hanging="720"/>
      </w:pPr>
      <w:r>
        <w:t xml:space="preserve">von Elm, E., Altman, D. G., Egger, M., Pocock, S. J., Gøtzsche, P. C., &amp; Vandenbroucke, J. P. (2007). The Strengthening the Reporting of Observational Studies in Epidemiology (STROBE) statement: Guidelines for reporting observational studies. </w:t>
      </w:r>
      <w:r>
        <w:rPr>
          <w:i/>
        </w:rPr>
        <w:t>The Lancet</w:t>
      </w:r>
      <w:r>
        <w:t xml:space="preserve">, </w:t>
      </w:r>
      <w:r>
        <w:rPr>
          <w:i/>
        </w:rPr>
        <w:t>370</w:t>
      </w:r>
      <w:r>
        <w:t>(9596), 1453–1457. https://doi.org/10.1016/S0140-6736(07)61602-X</w:t>
      </w:r>
    </w:p>
    <w:p>
      <w:pPr>
        <w:ind w:left="720" w:hanging="720"/>
      </w:pPr>
      <w:r>
        <w:t xml:space="preserve">Wakaizumi, K., Tanaka, C., Shinohara, Y., Wu, Y., Takaoka, S., Kawate, M., Oka, H., &amp; Matsudaira, K. (2024). Geographical variation in high-impact chronic pain and psychological associations at the regional level: A multilevel analysis of a large-scale internet-based cross-sectional survey. </w:t>
      </w:r>
      <w:r>
        <w:rPr>
          <w:i/>
        </w:rPr>
        <w:t>Frontiers in Public Health</w:t>
      </w:r>
      <w:r>
        <w:t xml:space="preserve">, </w:t>
      </w:r>
      <w:r>
        <w:rPr>
          <w:i/>
        </w:rPr>
        <w:t>12</w:t>
      </w:r>
      <w:r>
        <w:t>, Article 1482177. https://doi.org/10.3389/fpubh.2024.1482177</w:t>
      </w:r>
    </w:p>
    <w:p>
      <w:pPr>
        <w:ind w:left="720" w:hanging="720"/>
      </w:pPr>
      <w:r>
        <w:t xml:space="preserve">Zborowski, M. (1969). </w:t>
      </w:r>
      <w:r>
        <w:rPr>
          <w:i/>
        </w:rPr>
        <w:t>People in pain</w:t>
      </w:r>
      <w:r>
        <w:t>. Jossey-Bass.</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