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i w:val="0"/>
          <w:sz w:val="24"/>
        </w:rPr>
        <w:t>Running head: KOTHA Framework for Information Loss</w:t>
      </w:r>
    </w:p>
    <w:p>
      <w:pPr>
        <w:jc w:val="center"/>
      </w:pPr>
      <w:r>
        <w:rPr>
          <w:rFonts w:ascii="Times New Roman" w:hAnsi="Times New Roman"/>
          <w:b/>
          <w:i w:val="0"/>
          <w:sz w:val="28"/>
        </w:rPr>
        <w:t>The KOTHA Framework: A Simulation-Based Approach to Quantifying and Correcting Structural Information Loss in Randomized Controlled Trial Meta-Analyses</w:t>
      </w:r>
    </w:p>
    <w:p>
      <w:pPr>
        <w:jc w:val="center"/>
      </w:pPr>
      <w:r>
        <w:rPr>
          <w:rFonts w:ascii="Times New Roman" w:hAnsi="Times New Roman"/>
          <w:b w:val="0"/>
          <w:i/>
          <w:sz w:val="24"/>
        </w:rPr>
        <w:t>[To be determined]</w:t>
      </w:r>
    </w:p>
    <w:p>
      <w:pPr>
        <w:jc w:val="center"/>
      </w:pPr>
      <w:r>
        <w:rPr>
          <w:rFonts w:ascii="Times New Roman" w:hAnsi="Times New Roman"/>
          <w:b w:val="0"/>
          <w:i/>
          <w:sz w:val="24"/>
        </w:rPr>
        <w:t>Affiliations: [To be determined]</w:t>
      </w:r>
    </w:p>
    <w:p>
      <w:r>
        <w:rPr>
          <w:rFonts w:ascii="Times New Roman" w:hAnsi="Times New Roman"/>
          <w:b w:val="0"/>
          <w:i w:val="0"/>
          <w:sz w:val="24"/>
        </w:rPr>
        <w:t>Corresponding author: [To be determined]</w:t>
      </w:r>
    </w:p>
    <w:p>
      <w:r>
        <w:rPr>
          <w:rFonts w:ascii="Times New Roman" w:hAnsi="Times New Roman"/>
          <w:b w:val="0"/>
          <w:i w:val="0"/>
          <w:sz w:val="24"/>
        </w:rPr>
        <w:t>Corresponding author address: [To be determined]</w:t>
      </w:r>
    </w:p>
    <w:p>
      <w:r>
        <w:rPr>
          <w:rFonts w:ascii="Times New Roman" w:hAnsi="Times New Roman"/>
          <w:b w:val="0"/>
          <w:i w:val="0"/>
          <w:sz w:val="24"/>
        </w:rPr>
        <w:t>Word count: 3240</w:t>
      </w:r>
    </w:p>
    <w:p>
      <w:r>
        <w:rPr>
          <w:rFonts w:ascii="Times New Roman" w:hAnsi="Times New Roman"/>
          <w:b w:val="0"/>
          <w:i/>
          <w:sz w:val="24"/>
        </w:rPr>
        <w:t>Prepared for submission to Contemporary Clinical Trials Communications</w:t>
      </w:r>
    </w:p>
    <w:p>
      <w:r>
        <w:br w:type="page"/>
      </w:r>
    </w:p>
    <w:p>
      <w:pPr>
        <w:pStyle w:val="Heading2"/>
      </w:pPr>
      <w:r>
        <w:rPr>
          <w:rFonts w:ascii="Times New Roman" w:hAnsi="Times New Roman"/>
          <w:b/>
          <w:color w:val="000000"/>
          <w:sz w:val="24"/>
        </w:rPr>
        <w:t>Highlights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KOTHA separates structural information loss from residual confounding.</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Counterfactual power simulation quantifies enrollment-driven event dilution.</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Power-prior Bayesian synthesis transparently discounts observational evidence.</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GRADE-compatible output labels evidence as sufficient or insufficient.</w:t>
      </w:r>
    </w:p>
    <w:p>
      <w:pPr>
        <w:pStyle w:val="Heading2"/>
      </w:pPr>
      <w:r>
        <w:rPr>
          <w:rFonts w:ascii="Times New Roman" w:hAnsi="Times New Roman"/>
          <w:b/>
          <w:color w:val="000000"/>
          <w:sz w:val="24"/>
        </w:rPr>
        <w:t>Abstract</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Background/Aims</w:t>
      </w:r>
      <w:r>
        <w:rPr>
          <w:rFonts w:ascii="Times New Roman" w:hAnsi="Times New Roman" w:cs="Times New Roman" w:eastAsia="Times New Roman"/>
          <w:sz w:val="24"/>
          <w:szCs w:val="24"/>
        </w:rPr>
        <w:t xml:space="preserve">: Evidence-based medicine places RCTs and meta-analyses at the top of the evidence hierarchy, yet when observational and RCT evidence disagree the usual explanation is residual confounding. We highlight a structural explanation: trial enrollment progressively excludes higher-risk patients, diluting event rates and statistical information. The Knowledge-driven Observational-Trial Harmonization Approach (KOTHA) Framework diagnoses this structural information loss. We aimed to develop and illustrate KOTHA so that trialists can distinguish structural information loss from residual confounding and inform sample size, eligibility, enrichment, and endpoint decisions in prospective trial design.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Methods</w:t>
      </w:r>
      <w:r>
        <w:rPr>
          <w:rFonts w:ascii="Times New Roman" w:hAnsi="Times New Roman" w:cs="Times New Roman" w:eastAsia="Times New Roman"/>
          <w:sz w:val="24"/>
          <w:szCs w:val="24"/>
        </w:rPr>
        <w:t xml:space="preserve">: KOTHA comprises three modules: Module K quantifies risk-profile shifts and power loss, Module T combines RCT and observational evidence with power-prior discounting, and Module H translates outputs into a GRADE-compatible assessment. We applied it to magnesium in acute myocardial infarction and statins in heart failure.</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Results</w:t>
      </w:r>
      <w:r>
        <w:rPr>
          <w:rFonts w:ascii="Times New Roman" w:hAnsi="Times New Roman" w:cs="Times New Roman" w:eastAsia="Times New Roman"/>
          <w:sz w:val="24"/>
          <w:szCs w:val="24"/>
        </w:rPr>
        <w:t xml:space="preserve">: In the magnesium case, control event rates fell from 8.9% to 7.2%; the pre-ISIS-4 pooled odds ratio (OR) was 0.54 (95% CI: 0.40-0.75) and the all-trials estimate 0.56 (0.38-0.83)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In the statins case, observational hazard ratio (HR) was 0.72 (0.64-0.80) versus RCT HR 0.97 (0.90-1.05), with an event-rate ratio of 0.51. Bayesian integration (alpha = 0.3) yielded OR 0.74 (CrI 0.25-1.43), P(OR &lt; 1) = 80.7% for magnesium and HR 0.85 (0.55-1.24), P(HR &lt; 1) = 86.5% for statins; both probabilities remained below conventional decision thresholds, leaving conclusions uncertain.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Conclusions</w:t>
      </w:r>
      <w:r>
        <w:rPr>
          <w:rFonts w:ascii="Times New Roman" w:hAnsi="Times New Roman" w:cs="Times New Roman" w:eastAsia="Times New Roman"/>
          <w:sz w:val="24"/>
          <w:szCs w:val="24"/>
        </w:rPr>
        <w:t xml:space="preserve">: KOTHA distinguishes "evidence of no effect" from "no evidence of effect". Module H classified magnesium as inconclusive with serious inconsistency (heterogeneity), and statins as inconclusive with serious indirectness.</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Keywords</w:t>
      </w:r>
      <w:r>
        <w:rPr>
          <w:rFonts w:ascii="Times New Roman" w:hAnsi="Times New Roman" w:cs="Times New Roman" w:eastAsia="Times New Roman"/>
          <w:sz w:val="24"/>
          <w:szCs w:val="24"/>
        </w:rPr>
        <w:t xml:space="preserve">: randomized controlled trials, meta-analysis, observational studies, trial design, Bayesian evidence synthesis, GRADE</w:t>
      </w:r>
    </w:p>
    <w:p>
      <w:pPr>
        <w:pStyle w:val="Heading2"/>
      </w:pPr>
      <w:r>
        <w:rPr>
          <w:rFonts w:ascii="Times New Roman" w:hAnsi="Times New Roman"/>
          <w:b/>
          <w:color w:val="000000"/>
          <w:sz w:val="24"/>
        </w:rPr>
        <w:t>Abbreviations</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3960"/>
        <w:gridCol w:w="3960"/>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Abbreviation</w:t>
            </w:r>
          </w:p>
        </w:tc>
        <w:tc>
          <w:tcPr/>
          <w:p>
            <w:pPr>
              <w:pStyle w:val="Normal"/>
              <w:jc w:val="left"/>
              <w:spacing w:line="240" w:lineRule="auto" w:after="0"/>
            </w:pPr>
            <w:r>
              <w:rPr>
                <w:rFonts w:ascii="Times New Roman" w:hAnsi="Times New Roman" w:cs="Times New Roman" w:eastAsia="Times New Roman"/>
                <w:sz w:val="20"/>
                <w:szCs w:val="20"/>
                <w:b/>
              </w:rPr>
              <w:t xml:space="preserve">Definition</w:t>
            </w:r>
          </w:p>
        </w:tc>
      </w:tr>
      <w:tr>
        <w:tc>
          <w:tcPr/>
          <w:p>
            <w:pPr>
              <w:pStyle w:val="Normal"/>
              <w:jc w:val="left"/>
              <w:spacing w:line="240" w:lineRule="auto" w:after="0"/>
            </w:pPr>
            <w:r>
              <w:rPr>
                <w:rFonts w:ascii="Times New Roman" w:hAnsi="Times New Roman" w:cs="Times New Roman" w:eastAsia="Times New Roman"/>
                <w:sz w:val="20"/>
                <w:szCs w:val="20"/>
              </w:rPr>
              <w:t xml:space="preserve">ADEMP</w:t>
            </w:r>
          </w:p>
        </w:tc>
        <w:tc>
          <w:tcPr/>
          <w:p>
            <w:pPr>
              <w:pStyle w:val="Normal"/>
              <w:jc w:val="left"/>
              <w:spacing w:line="240" w:lineRule="auto" w:after="0"/>
            </w:pPr>
            <w:r>
              <w:rPr>
                <w:rFonts w:ascii="Times New Roman" w:hAnsi="Times New Roman" w:cs="Times New Roman" w:eastAsia="Times New Roman"/>
                <w:sz w:val="20"/>
                <w:szCs w:val="20"/>
              </w:rPr>
              <w:t xml:space="preserve">Aims, Data-generating mechanisms, Estimands, Methods, Performance measures</w:t>
            </w:r>
          </w:p>
        </w:tc>
      </w:tr>
      <w:tr>
        <w:tc>
          <w:tcPr/>
          <w:p>
            <w:pPr>
              <w:pStyle w:val="Normal"/>
              <w:jc w:val="left"/>
              <w:spacing w:line="240" w:lineRule="auto" w:after="0"/>
            </w:pPr>
            <w:r>
              <w:rPr>
                <w:rFonts w:ascii="Times New Roman" w:hAnsi="Times New Roman" w:cs="Times New Roman" w:eastAsia="Times New Roman"/>
                <w:sz w:val="20"/>
                <w:szCs w:val="20"/>
              </w:rPr>
              <w:t xml:space="preserve">AMI</w:t>
            </w:r>
          </w:p>
        </w:tc>
        <w:tc>
          <w:tcPr/>
          <w:p>
            <w:pPr>
              <w:pStyle w:val="Normal"/>
              <w:jc w:val="left"/>
              <w:spacing w:line="240" w:lineRule="auto" w:after="0"/>
            </w:pPr>
            <w:r>
              <w:rPr>
                <w:rFonts w:ascii="Times New Roman" w:hAnsi="Times New Roman" w:cs="Times New Roman" w:eastAsia="Times New Roman"/>
                <w:sz w:val="20"/>
                <w:szCs w:val="20"/>
              </w:rPr>
              <w:t xml:space="preserve">Acute myocardial infarction</w:t>
            </w:r>
          </w:p>
        </w:tc>
      </w:tr>
      <w:tr>
        <w:tc>
          <w:tcPr/>
          <w:p>
            <w:pPr>
              <w:pStyle w:val="Normal"/>
              <w:jc w:val="left"/>
              <w:spacing w:line="240" w:lineRule="auto" w:after="0"/>
            </w:pPr>
            <w:r>
              <w:rPr>
                <w:rFonts w:ascii="Times New Roman" w:hAnsi="Times New Roman" w:cs="Times New Roman" w:eastAsia="Times New Roman"/>
                <w:sz w:val="20"/>
                <w:szCs w:val="20"/>
              </w:rPr>
              <w:t xml:space="preserve">CrI</w:t>
            </w:r>
          </w:p>
        </w:tc>
        <w:tc>
          <w:tcPr/>
          <w:p>
            <w:pPr>
              <w:pStyle w:val="Normal"/>
              <w:jc w:val="left"/>
              <w:spacing w:line="240" w:lineRule="auto" w:after="0"/>
            </w:pPr>
            <w:r>
              <w:rPr>
                <w:rFonts w:ascii="Times New Roman" w:hAnsi="Times New Roman" w:cs="Times New Roman" w:eastAsia="Times New Roman"/>
                <w:sz w:val="20"/>
                <w:szCs w:val="20"/>
              </w:rPr>
              <w:t xml:space="preserve">Credible interval</w:t>
            </w:r>
          </w:p>
        </w:tc>
      </w:tr>
      <w:tr>
        <w:tc>
          <w:tcPr/>
          <w:p>
            <w:pPr>
              <w:pStyle w:val="Normal"/>
              <w:jc w:val="left"/>
              <w:spacing w:line="240" w:lineRule="auto" w:after="0"/>
            </w:pPr>
            <w:r>
              <w:rPr>
                <w:rFonts w:ascii="Times New Roman" w:hAnsi="Times New Roman" w:cs="Times New Roman" w:eastAsia="Times New Roman"/>
                <w:sz w:val="20"/>
                <w:szCs w:val="20"/>
              </w:rPr>
              <w:t xml:space="preserve">CI</w:t>
            </w:r>
          </w:p>
        </w:tc>
        <w:tc>
          <w:tcPr/>
          <w:p>
            <w:pPr>
              <w:pStyle w:val="Normal"/>
              <w:jc w:val="left"/>
              <w:spacing w:line="240" w:lineRule="auto" w:after="0"/>
            </w:pPr>
            <w:r>
              <w:rPr>
                <w:rFonts w:ascii="Times New Roman" w:hAnsi="Times New Roman" w:cs="Times New Roman" w:eastAsia="Times New Roman"/>
                <w:sz w:val="20"/>
                <w:szCs w:val="20"/>
              </w:rPr>
              <w:t xml:space="preserve">Confidence interval</w:t>
            </w:r>
          </w:p>
        </w:tc>
      </w:tr>
      <w:tr>
        <w:tc>
          <w:tcPr/>
          <w:p>
            <w:pPr>
              <w:pStyle w:val="Normal"/>
              <w:jc w:val="left"/>
              <w:spacing w:line="240" w:lineRule="auto" w:after="0"/>
            </w:pPr>
            <w:r>
              <w:rPr>
                <w:rFonts w:ascii="Times New Roman" w:hAnsi="Times New Roman" w:cs="Times New Roman" w:eastAsia="Times New Roman"/>
                <w:sz w:val="20"/>
                <w:szCs w:val="20"/>
              </w:rPr>
              <w:t xml:space="preserve">GRADE</w:t>
            </w:r>
          </w:p>
        </w:tc>
        <w:tc>
          <w:tcPr/>
          <w:p>
            <w:pPr>
              <w:pStyle w:val="Normal"/>
              <w:jc w:val="left"/>
              <w:spacing w:line="240" w:lineRule="auto" w:after="0"/>
            </w:pPr>
            <w:r>
              <w:rPr>
                <w:rFonts w:ascii="Times New Roman" w:hAnsi="Times New Roman" w:cs="Times New Roman" w:eastAsia="Times New Roman"/>
                <w:sz w:val="20"/>
                <w:szCs w:val="20"/>
              </w:rPr>
              <w:t xml:space="preserve">Grading of Recommendations Assessment, Development and Evaluation</w:t>
            </w:r>
          </w:p>
        </w:tc>
      </w:tr>
      <w:tr>
        <w:tc>
          <w:tcPr/>
          <w:p>
            <w:pPr>
              <w:pStyle w:val="Normal"/>
              <w:jc w:val="left"/>
              <w:spacing w:line="240" w:lineRule="auto" w:after="0"/>
            </w:pPr>
            <w:r>
              <w:rPr>
                <w:rFonts w:ascii="Times New Roman" w:hAnsi="Times New Roman" w:cs="Times New Roman" w:eastAsia="Times New Roman"/>
                <w:sz w:val="20"/>
                <w:szCs w:val="20"/>
              </w:rPr>
              <w:t xml:space="preserve">HF</w:t>
            </w:r>
          </w:p>
        </w:tc>
        <w:tc>
          <w:tcPr/>
          <w:p>
            <w:pPr>
              <w:pStyle w:val="Normal"/>
              <w:jc w:val="left"/>
              <w:spacing w:line="240" w:lineRule="auto" w:after="0"/>
            </w:pPr>
            <w:r>
              <w:rPr>
                <w:rFonts w:ascii="Times New Roman" w:hAnsi="Times New Roman" w:cs="Times New Roman" w:eastAsia="Times New Roman"/>
                <w:sz w:val="20"/>
                <w:szCs w:val="20"/>
              </w:rPr>
              <w:t xml:space="preserve">Heart failure</w:t>
            </w:r>
          </w:p>
        </w:tc>
      </w:tr>
      <w:tr>
        <w:tc>
          <w:tcPr/>
          <w:p>
            <w:pPr>
              <w:pStyle w:val="Normal"/>
              <w:jc w:val="left"/>
              <w:spacing w:line="240" w:lineRule="auto" w:after="0"/>
            </w:pPr>
            <w:r>
              <w:rPr>
                <w:rFonts w:ascii="Times New Roman" w:hAnsi="Times New Roman" w:cs="Times New Roman" w:eastAsia="Times New Roman"/>
                <w:sz w:val="20"/>
                <w:szCs w:val="20"/>
              </w:rPr>
              <w:t xml:space="preserve">HR</w:t>
            </w:r>
          </w:p>
        </w:tc>
        <w:tc>
          <w:tcPr/>
          <w:p>
            <w:pPr>
              <w:pStyle w:val="Normal"/>
              <w:jc w:val="left"/>
              <w:spacing w:line="240" w:lineRule="auto" w:after="0"/>
            </w:pPr>
            <w:r>
              <w:rPr>
                <w:rFonts w:ascii="Times New Roman" w:hAnsi="Times New Roman" w:cs="Times New Roman" w:eastAsia="Times New Roman"/>
                <w:sz w:val="20"/>
                <w:szCs w:val="20"/>
              </w:rPr>
              <w:t xml:space="preserve">Hazard ratio</w:t>
            </w:r>
          </w:p>
        </w:tc>
      </w:tr>
      <w:tr>
        <w:tc>
          <w:tcPr/>
          <w:p>
            <w:pPr>
              <w:pStyle w:val="Normal"/>
              <w:jc w:val="left"/>
              <w:spacing w:line="240" w:lineRule="auto" w:after="0"/>
            </w:pPr>
            <w:r>
              <w:rPr>
                <w:rFonts w:ascii="Times New Roman" w:hAnsi="Times New Roman" w:cs="Times New Roman" w:eastAsia="Times New Roman"/>
                <w:sz w:val="20"/>
                <w:szCs w:val="20"/>
              </w:rPr>
              <w:t xml:space="preserve">KOTHA</w:t>
            </w:r>
          </w:p>
        </w:tc>
        <w:tc>
          <w:tcPr/>
          <w:p>
            <w:pPr>
              <w:pStyle w:val="Normal"/>
              <w:jc w:val="left"/>
              <w:spacing w:line="240" w:lineRule="auto" w:after="0"/>
            </w:pPr>
            <w:r>
              <w:rPr>
                <w:rFonts w:ascii="Times New Roman" w:hAnsi="Times New Roman" w:cs="Times New Roman" w:eastAsia="Times New Roman"/>
                <w:sz w:val="20"/>
                <w:szCs w:val="20"/>
              </w:rPr>
              <w:t xml:space="preserve">Knowledge-driven Observational-Trial Harmonization Approach</w:t>
            </w:r>
          </w:p>
        </w:tc>
      </w:tr>
      <w:tr>
        <w:tc>
          <w:tcPr/>
          <w:p>
            <w:pPr>
              <w:pStyle w:val="Normal"/>
              <w:jc w:val="left"/>
              <w:spacing w:line="240" w:lineRule="auto" w:after="0"/>
            </w:pPr>
            <w:r>
              <w:rPr>
                <w:rFonts w:ascii="Times New Roman" w:hAnsi="Times New Roman" w:cs="Times New Roman" w:eastAsia="Times New Roman"/>
                <w:sz w:val="20"/>
                <w:szCs w:val="20"/>
              </w:rPr>
              <w:t xml:space="preserve">MCMC</w:t>
            </w:r>
          </w:p>
        </w:tc>
        <w:tc>
          <w:tcPr/>
          <w:p>
            <w:pPr>
              <w:pStyle w:val="Normal"/>
              <w:jc w:val="left"/>
              <w:spacing w:line="240" w:lineRule="auto" w:after="0"/>
            </w:pPr>
            <w:r>
              <w:rPr>
                <w:rFonts w:ascii="Times New Roman" w:hAnsi="Times New Roman" w:cs="Times New Roman" w:eastAsia="Times New Roman"/>
                <w:sz w:val="20"/>
                <w:szCs w:val="20"/>
              </w:rPr>
              <w:t xml:space="preserve">Markov chain Monte Carlo</w:t>
            </w:r>
          </w:p>
        </w:tc>
      </w:tr>
      <w:tr>
        <w:tc>
          <w:tcPr/>
          <w:p>
            <w:pPr>
              <w:pStyle w:val="Normal"/>
              <w:jc w:val="left"/>
              <w:spacing w:line="240" w:lineRule="auto" w:after="0"/>
            </w:pPr>
            <w:r>
              <w:rPr>
                <w:rFonts w:ascii="Times New Roman" w:hAnsi="Times New Roman" w:cs="Times New Roman" w:eastAsia="Times New Roman"/>
                <w:sz w:val="20"/>
                <w:szCs w:val="20"/>
              </w:rPr>
              <w:t xml:space="preserve">OIS</w:t>
            </w:r>
          </w:p>
        </w:tc>
        <w:tc>
          <w:tcPr/>
          <w:p>
            <w:pPr>
              <w:pStyle w:val="Normal"/>
              <w:jc w:val="left"/>
              <w:spacing w:line="240" w:lineRule="auto" w:after="0"/>
            </w:pPr>
            <w:r>
              <w:rPr>
                <w:rFonts w:ascii="Times New Roman" w:hAnsi="Times New Roman" w:cs="Times New Roman" w:eastAsia="Times New Roman"/>
                <w:sz w:val="20"/>
                <w:szCs w:val="20"/>
              </w:rPr>
              <w:t xml:space="preserve">Optimal information size</w:t>
            </w:r>
          </w:p>
        </w:tc>
      </w:tr>
      <w:tr>
        <w:tc>
          <w:tcPr/>
          <w:p>
            <w:pPr>
              <w:pStyle w:val="Normal"/>
              <w:jc w:val="left"/>
              <w:spacing w:line="240" w:lineRule="auto" w:after="0"/>
            </w:pPr>
            <w:r>
              <w:rPr>
                <w:rFonts w:ascii="Times New Roman" w:hAnsi="Times New Roman" w:cs="Times New Roman" w:eastAsia="Times New Roman"/>
                <w:sz w:val="20"/>
                <w:szCs w:val="20"/>
              </w:rPr>
              <w:t xml:space="preserve">OR</w:t>
            </w:r>
          </w:p>
        </w:tc>
        <w:tc>
          <w:tcPr/>
          <w:p>
            <w:pPr>
              <w:pStyle w:val="Normal"/>
              <w:jc w:val="left"/>
              <w:spacing w:line="240" w:lineRule="auto" w:after="0"/>
            </w:pPr>
            <w:r>
              <w:rPr>
                <w:rFonts w:ascii="Times New Roman" w:hAnsi="Times New Roman" w:cs="Times New Roman" w:eastAsia="Times New Roman"/>
                <w:sz w:val="20"/>
                <w:szCs w:val="20"/>
              </w:rPr>
              <w:t xml:space="preserve">Odds ratio</w:t>
            </w:r>
          </w:p>
        </w:tc>
      </w:tr>
      <w:tr>
        <w:tc>
          <w:tcPr/>
          <w:p>
            <w:pPr>
              <w:pStyle w:val="Normal"/>
              <w:jc w:val="left"/>
              <w:spacing w:line="240" w:lineRule="auto" w:after="0"/>
            </w:pPr>
            <w:r>
              <w:rPr>
                <w:rFonts w:ascii="Times New Roman" w:hAnsi="Times New Roman" w:cs="Times New Roman" w:eastAsia="Times New Roman"/>
                <w:sz w:val="20"/>
                <w:szCs w:val="20"/>
              </w:rPr>
              <w:t xml:space="preserve">RCT</w:t>
            </w:r>
          </w:p>
        </w:tc>
        <w:tc>
          <w:tcPr/>
          <w:p>
            <w:pPr>
              <w:pStyle w:val="Normal"/>
              <w:jc w:val="left"/>
              <w:spacing w:line="240" w:lineRule="auto" w:after="0"/>
            </w:pPr>
            <w:r>
              <w:rPr>
                <w:rFonts w:ascii="Times New Roman" w:hAnsi="Times New Roman" w:cs="Times New Roman" w:eastAsia="Times New Roman"/>
                <w:sz w:val="20"/>
                <w:szCs w:val="20"/>
              </w:rPr>
              <w:t xml:space="preserve">Randomized controlled trial</w:t>
            </w:r>
          </w:p>
        </w:tc>
      </w:tr>
      <w:tr>
        <w:tc>
          <w:tcPr/>
          <w:p>
            <w:pPr>
              <w:pStyle w:val="Normal"/>
              <w:jc w:val="left"/>
              <w:spacing w:line="240" w:lineRule="auto" w:after="0"/>
            </w:pPr>
            <w:r>
              <w:rPr>
                <w:rFonts w:ascii="Times New Roman" w:hAnsi="Times New Roman" w:cs="Times New Roman" w:eastAsia="Times New Roman"/>
                <w:sz w:val="20"/>
                <w:szCs w:val="20"/>
              </w:rPr>
              <w:t xml:space="preserve">TSA</w:t>
            </w:r>
          </w:p>
        </w:tc>
        <w:tc>
          <w:tcPr/>
          <w:p>
            <w:pPr>
              <w:pStyle w:val="Normal"/>
              <w:jc w:val="left"/>
              <w:spacing w:line="240" w:lineRule="auto" w:after="0"/>
            </w:pPr>
            <w:r>
              <w:rPr>
                <w:rFonts w:ascii="Times New Roman" w:hAnsi="Times New Roman" w:cs="Times New Roman" w:eastAsia="Times New Roman"/>
                <w:sz w:val="20"/>
                <w:szCs w:val="20"/>
              </w:rPr>
              <w:t xml:space="preserve">Trial sequential analysis</w:t>
            </w:r>
          </w:p>
        </w:tc>
      </w:tr>
    </w:tbl>
    <w:p>
      <w:pPr>
        <w:pStyle w:val="Heading2"/>
      </w:pPr>
      <w:r>
        <w:rPr>
          <w:rFonts w:ascii="Times New Roman" w:hAnsi="Times New Roman"/>
          <w:b/>
          <w:color w:val="000000"/>
          <w:sz w:val="24"/>
        </w:rPr>
        <w:t>1. Introduction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Evidence-based medicine places RCTs and their meta-analyses at the apex of the evidence hierarchy because randomization minimizes confounding and provides internally valid estimates of treatment effects </w:t>
      </w:r>
      <w:r>
        <w:rPr>
          <w:rFonts w:ascii="Times New Roman" w:hAnsi="Times New Roman" w:cs="Times New Roman" w:eastAsia="Times New Roman"/>
          <w:sz w:val="24"/>
          <w:szCs w:val="24"/>
          <w:vertAlign w:val="superscript"/>
        </w:rPr>
        <w:t xml:space="preserve">[1]</w:t>
      </w:r>
      <w:r>
        <w:rPr>
          <w:rFonts w:ascii="Times New Roman" w:hAnsi="Times New Roman" w:cs="Times New Roman" w:eastAsia="Times New Roman"/>
          <w:sz w:val="24"/>
          <w:szCs w:val="24"/>
        </w:rPr>
        <w:t xml:space="preserve">. Nevertheless, meta-analyses of observational studies and RCTs frequently disagree: observational evidence may show statistically significant benefit while RCT evidence does not </w:t>
      </w:r>
      <w:r>
        <w:rPr>
          <w:rFonts w:ascii="Times New Roman" w:hAnsi="Times New Roman" w:cs="Times New Roman" w:eastAsia="Times New Roman"/>
          <w:sz w:val="24"/>
          <w:szCs w:val="24"/>
          <w:vertAlign w:val="superscript"/>
        </w:rPr>
        <w:t xml:space="preserve">[2-3]</w:t>
      </w:r>
      <w:r>
        <w:rPr>
          <w:rFonts w:ascii="Times New Roman" w:hAnsi="Times New Roman" w:cs="Times New Roman" w:eastAsia="Times New Roman"/>
          <w:sz w:val="24"/>
          <w:szCs w:val="24"/>
        </w:rPr>
        <w:t xml:space="preserve">. The conventional explanation invokes residual confounding, selection bias, or publication bias in observational data. While these sources of bias are real, they may not fully account for the discordance.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structural information loss</w:t>
      </w:r>
      <w:r>
        <w:rPr>
          <w:rFonts w:ascii="Times New Roman" w:hAnsi="Times New Roman" w:cs="Times New Roman" w:eastAsia="Times New Roman"/>
          <w:sz w:val="24"/>
          <w:szCs w:val="24"/>
        </w:rPr>
        <w:t xml:space="preserve">, a five-step causal chain: representativeness loss; event concentration in excluded populations; inadequate design compensation; systematic underpowering; and, ultimately, distorted recommendations when "no statistically significant difference" is interpreted as "no effect".</w:t>
      </w:r>
      <w:r>
        <w:rPr>
          <w:rFonts w:ascii="Times New Roman" w:hAnsi="Times New Roman" w:cs="Times New Roman" w:eastAsia="Times New Roman"/>
          <w:sz w:val="24"/>
          <w:szCs w:val="24"/>
        </w:rPr>
        <w:t xml:space="preserve">An alternative structural explanation deserves systematic attention. RCT enrollment criteria, consent processes, and site selection progressively restrict the study population </w:t>
      </w:r>
      <w:r>
        <w:rPr>
          <w:rFonts w:ascii="Times New Roman" w:hAnsi="Times New Roman" w:cs="Times New Roman" w:eastAsia="Times New Roman"/>
          <w:sz w:val="24"/>
          <w:szCs w:val="24"/>
          <w:vertAlign w:val="superscript"/>
        </w:rPr>
        <w:t xml:space="preserve">[4-5]</w:t>
      </w:r>
      <w:r>
        <w:rPr>
          <w:rFonts w:ascii="Times New Roman" w:hAnsi="Times New Roman" w:cs="Times New Roman" w:eastAsia="Times New Roman"/>
          <w:sz w:val="24"/>
          <w:szCs w:val="24"/>
        </w:rPr>
        <w:t xml:space="preserve">. Because clinical events are concentrated in the highest-risk patients---those with comorbidities, advanced disease, or organ dysfunction---their exclusion lowers event rates in the enrolled cohort. If trial protocols do not compensate by increasing sample size, extending follow-up, or enriching high-risk enrollment, the resulting evidence base can become informationally insufficient. We call this phenomenon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concepts of optimal information size (OIS) and trial sequential analysis (TSA) provide partial remedies. OIS recognizes that meta-analyses, like individual trials, require a minimum information size to reach reliable conclusions </w:t>
      </w:r>
      <w:r>
        <w:rPr>
          <w:rFonts w:ascii="Times New Roman" w:hAnsi="Times New Roman" w:cs="Times New Roman" w:eastAsia="Times New Roman"/>
          <w:sz w:val="24"/>
          <w:szCs w:val="24"/>
          <w:vertAlign w:val="superscript"/>
        </w:rPr>
        <w:t xml:space="preserve">[6-7]</w:t>
      </w:r>
      <w:r>
        <w:rPr>
          <w:rFonts w:ascii="Times New Roman" w:hAnsi="Times New Roman" w:cs="Times New Roman" w:eastAsia="Times New Roman"/>
          <w:sz w:val="24"/>
          <w:szCs w:val="24"/>
        </w:rPr>
        <w:t xml:space="preserve">. TSA applies sequential monitoring boundaries to cumulative meta-analysis, distinguishing evidence of no effect (futility boundary crossed) from no evidence of effect (boundary not crossed) </w:t>
      </w:r>
      <w:r>
        <w:rPr>
          <w:rFonts w:ascii="Times New Roman" w:hAnsi="Times New Roman" w:cs="Times New Roman" w:eastAsia="Times New Roman"/>
          <w:sz w:val="24"/>
          <w:szCs w:val="24"/>
          <w:vertAlign w:val="superscript"/>
        </w:rPr>
        <w:t xml:space="preserve">[8-9]</w:t>
      </w:r>
      <w:r>
        <w:rPr>
          <w:rFonts w:ascii="Times New Roman" w:hAnsi="Times New Roman" w:cs="Times New Roman" w:eastAsia="Times New Roman"/>
          <w:sz w:val="24"/>
          <w:szCs w:val="24"/>
        </w:rPr>
        <w:t xml:space="preserve">. Both are underused in guideline development, however, and neither directly quantifies the information loss produced by enrollment-driven risk-profile shifts.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Several trial design strategies can mitigate event dilution (Table 1), including stratified randomization, prognostic enrichment, event-driven designs, adaptive sample-size re-estimation, and pragmatic or registry-based trials. Existing approaches address these issues separately; to our knowledge, no widely adopted framework tightly links prospective power assessment, retrospective diagnostic evaluation, and structured evidence interpretation in a single reproducible workflow for completed or planned RCTs.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address this gap we developed the Knowledge-driven Observational-Trial Harmonization Approach (KOTHA). The framework has three modules: Module K diagnoses structural information loss through counterfactual power simulation; Module T integrates discordant evidence through hierarchical Bayesian meta-analysis; and Module H translates quantitative findings into a GRADE-compatible evidence assessment. We describe the framework here and illustrate it with two canonical cases of observational-RCT divergence, focusing on implications for clinical trial design.</w:t>
      </w:r>
    </w:p>
    <w:p>
      <w:r>
        <w:rPr>
          <w:rFonts w:ascii="Times New Roman" w:hAnsi="Times New Roman"/>
          <w:b/>
          <w:i w:val="0"/>
          <w:sz w:val="24"/>
        </w:rPr>
        <w:t>Table 1: Existing approaches to mitigate event dilution in RCTs</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2640"/>
        <w:gridCol w:w="2640"/>
        <w:gridCol w:w="2640"/>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Approach</w:t>
            </w:r>
          </w:p>
        </w:tc>
        <w:tc>
          <w:tcPr/>
          <w:p>
            <w:pPr>
              <w:pStyle w:val="Normal"/>
              <w:jc w:val="left"/>
              <w:spacing w:line="240" w:lineRule="auto" w:after="0"/>
            </w:pPr>
            <w:r>
              <w:rPr>
                <w:rFonts w:ascii="Times New Roman" w:hAnsi="Times New Roman" w:cs="Times New Roman" w:eastAsia="Times New Roman"/>
                <w:sz w:val="20"/>
                <w:szCs w:val="20"/>
                <w:b/>
              </w:rPr>
              <w:t xml:space="preserve">Mechanism</w:t>
            </w:r>
          </w:p>
        </w:tc>
        <w:tc>
          <w:tcPr/>
          <w:p>
            <w:pPr>
              <w:pStyle w:val="Normal"/>
              <w:jc w:val="left"/>
              <w:spacing w:line="240" w:lineRule="auto" w:after="0"/>
            </w:pPr>
            <w:r>
              <w:rPr>
                <w:rFonts w:ascii="Times New Roman" w:hAnsi="Times New Roman" w:cs="Times New Roman" w:eastAsia="Times New Roman"/>
                <w:sz w:val="20"/>
                <w:szCs w:val="20"/>
                <w:b/>
              </w:rPr>
              <w:t xml:space="preserve">Adoption level</w:t>
            </w:r>
          </w:p>
        </w:tc>
      </w:tr>
      <w:tr>
        <w:tc>
          <w:tcPr/>
          <w:p>
            <w:pPr>
              <w:pStyle w:val="Normal"/>
              <w:jc w:val="left"/>
              <w:spacing w:line="240" w:lineRule="auto" w:after="0"/>
            </w:pPr>
            <w:r>
              <w:rPr>
                <w:rFonts w:ascii="Times New Roman" w:hAnsi="Times New Roman" w:cs="Times New Roman" w:eastAsia="Times New Roman"/>
                <w:sz w:val="20"/>
                <w:szCs w:val="20"/>
              </w:rPr>
              <w:t xml:space="preserve">Stratified randomization</w:t>
            </w:r>
          </w:p>
        </w:tc>
        <w:tc>
          <w:tcPr/>
          <w:p>
            <w:pPr>
              <w:pStyle w:val="Normal"/>
              <w:jc w:val="left"/>
              <w:spacing w:line="240" w:lineRule="auto" w:after="0"/>
            </w:pPr>
            <w:r>
              <w:rPr>
                <w:rFonts w:ascii="Times New Roman" w:hAnsi="Times New Roman" w:cs="Times New Roman" w:eastAsia="Times New Roman"/>
                <w:sz w:val="20"/>
                <w:szCs w:val="20"/>
              </w:rPr>
              <w:t xml:space="preserve">Risk-based stratification of randomization and analysis</w:t>
            </w:r>
          </w:p>
        </w:tc>
        <w:tc>
          <w:tcPr/>
          <w:p>
            <w:pPr>
              <w:pStyle w:val="Normal"/>
              <w:jc w:val="left"/>
              <w:spacing w:line="240" w:lineRule="auto" w:after="0"/>
            </w:pPr>
            <w:r>
              <w:rPr>
                <w:rFonts w:ascii="Times New Roman" w:hAnsi="Times New Roman" w:cs="Times New Roman" w:eastAsia="Times New Roman"/>
                <w:sz w:val="20"/>
                <w:szCs w:val="20"/>
              </w:rPr>
              <w:t xml:space="preserve">Common for basic strata; rare for event-rate-driven strata</w:t>
            </w:r>
          </w:p>
        </w:tc>
      </w:tr>
      <w:tr>
        <w:tc>
          <w:tcPr/>
          <w:p>
            <w:pPr>
              <w:pStyle w:val="Normal"/>
              <w:jc w:val="left"/>
              <w:spacing w:line="240" w:lineRule="auto" w:after="0"/>
            </w:pPr>
            <w:r>
              <w:rPr>
                <w:rFonts w:ascii="Times New Roman" w:hAnsi="Times New Roman" w:cs="Times New Roman" w:eastAsia="Times New Roman"/>
                <w:sz w:val="20"/>
                <w:szCs w:val="20"/>
              </w:rPr>
              <w:t xml:space="preserve">Prognostic enrichment</w:t>
            </w:r>
          </w:p>
        </w:tc>
        <w:tc>
          <w:tcPr/>
          <w:p>
            <w:pPr>
              <w:pStyle w:val="Normal"/>
              <w:jc w:val="left"/>
              <w:spacing w:line="240" w:lineRule="auto" w:after="0"/>
            </w:pPr>
            <w:r>
              <w:rPr>
                <w:rFonts w:ascii="Times New Roman" w:hAnsi="Times New Roman" w:cs="Times New Roman" w:eastAsia="Times New Roman"/>
                <w:sz w:val="20"/>
                <w:szCs w:val="20"/>
              </w:rPr>
              <w:t xml:space="preserve">Intentional enrollment of high-risk patients to increase event rates</w:t>
            </w:r>
          </w:p>
        </w:tc>
        <w:tc>
          <w:tcPr/>
          <w:p>
            <w:pPr>
              <w:pStyle w:val="Normal"/>
              <w:jc w:val="left"/>
              <w:spacing w:line="240" w:lineRule="auto" w:after="0"/>
            </w:pPr>
            <w:r>
              <w:rPr>
                <w:rFonts w:ascii="Times New Roman" w:hAnsi="Times New Roman" w:cs="Times New Roman" w:eastAsia="Times New Roman"/>
                <w:sz w:val="20"/>
                <w:szCs w:val="20"/>
              </w:rPr>
              <w:t xml:space="preserve">Endorsed by FDA and EMA guidance; limited in non-drug trials</w:t>
            </w:r>
          </w:p>
        </w:tc>
      </w:tr>
      <w:tr>
        <w:tc>
          <w:tcPr/>
          <w:p>
            <w:pPr>
              <w:pStyle w:val="Normal"/>
              <w:jc w:val="left"/>
              <w:spacing w:line="240" w:lineRule="auto" w:after="0"/>
            </w:pPr>
            <w:r>
              <w:rPr>
                <w:rFonts w:ascii="Times New Roman" w:hAnsi="Times New Roman" w:cs="Times New Roman" w:eastAsia="Times New Roman"/>
                <w:sz w:val="20"/>
                <w:szCs w:val="20"/>
              </w:rPr>
              <w:t xml:space="preserve">Event-driven design</w:t>
            </w:r>
          </w:p>
        </w:tc>
        <w:tc>
          <w:tcPr/>
          <w:p>
            <w:pPr>
              <w:pStyle w:val="Normal"/>
              <w:jc w:val="left"/>
              <w:spacing w:line="240" w:lineRule="auto" w:after="0"/>
            </w:pPr>
            <w:r>
              <w:rPr>
                <w:rFonts w:ascii="Times New Roman" w:hAnsi="Times New Roman" w:cs="Times New Roman" w:eastAsia="Times New Roman"/>
                <w:sz w:val="20"/>
                <w:szCs w:val="20"/>
              </w:rPr>
              <w:t xml:space="preserve">Continue enrollment/follow-up until target event count is reached</w:t>
            </w:r>
          </w:p>
        </w:tc>
        <w:tc>
          <w:tcPr/>
          <w:p>
            <w:pPr>
              <w:pStyle w:val="Normal"/>
              <w:jc w:val="left"/>
              <w:spacing w:line="240" w:lineRule="auto" w:after="0"/>
            </w:pPr>
            <w:r>
              <w:rPr>
                <w:rFonts w:ascii="Times New Roman" w:hAnsi="Times New Roman" w:cs="Times New Roman" w:eastAsia="Times New Roman"/>
                <w:sz w:val="20"/>
                <w:szCs w:val="20"/>
              </w:rPr>
              <w:t xml:space="preserve">Common in cardiology and oncology; rare in other specialties</w:t>
            </w:r>
          </w:p>
        </w:tc>
      </w:tr>
      <w:tr>
        <w:tc>
          <w:tcPr/>
          <w:p>
            <w:pPr>
              <w:pStyle w:val="Normal"/>
              <w:jc w:val="left"/>
              <w:spacing w:line="240" w:lineRule="auto" w:after="0"/>
            </w:pPr>
            <w:r>
              <w:rPr>
                <w:rFonts w:ascii="Times New Roman" w:hAnsi="Times New Roman" w:cs="Times New Roman" w:eastAsia="Times New Roman"/>
                <w:sz w:val="20"/>
                <w:szCs w:val="20"/>
              </w:rPr>
              <w:t xml:space="preserve">Adaptive sample size re-estimation</w:t>
            </w:r>
          </w:p>
        </w:tc>
        <w:tc>
          <w:tcPr/>
          <w:p>
            <w:pPr>
              <w:pStyle w:val="Normal"/>
              <w:jc w:val="left"/>
              <w:spacing w:line="240" w:lineRule="auto" w:after="0"/>
            </w:pPr>
            <w:r>
              <w:rPr>
                <w:rFonts w:ascii="Times New Roman" w:hAnsi="Times New Roman" w:cs="Times New Roman" w:eastAsia="Times New Roman"/>
                <w:sz w:val="20"/>
                <w:szCs w:val="20"/>
              </w:rPr>
              <w:t xml:space="preserve">Mid-trial re-estimation of required sample size based on observed event rates</w:t>
            </w:r>
          </w:p>
        </w:tc>
        <w:tc>
          <w:tcPr/>
          <w:p>
            <w:pPr>
              <w:pStyle w:val="Normal"/>
              <w:jc w:val="left"/>
              <w:spacing w:line="240" w:lineRule="auto" w:after="0"/>
            </w:pPr>
            <w:r>
              <w:rPr>
                <w:rFonts w:ascii="Times New Roman" w:hAnsi="Times New Roman" w:cs="Times New Roman" w:eastAsia="Times New Roman"/>
                <w:sz w:val="20"/>
                <w:szCs w:val="20"/>
              </w:rPr>
              <w:t xml:space="preserve">Statistically powerful; regulatory complexity limits adoption</w:t>
            </w:r>
          </w:p>
        </w:tc>
      </w:tr>
      <w:tr>
        <w:tc>
          <w:tcPr/>
          <w:p>
            <w:pPr>
              <w:pStyle w:val="Normal"/>
              <w:jc w:val="left"/>
              <w:spacing w:line="240" w:lineRule="auto" w:after="0"/>
            </w:pPr>
            <w:r>
              <w:rPr>
                <w:rFonts w:ascii="Times New Roman" w:hAnsi="Times New Roman" w:cs="Times New Roman" w:eastAsia="Times New Roman"/>
                <w:sz w:val="20"/>
                <w:szCs w:val="20"/>
              </w:rPr>
              <w:t xml:space="preserve">External data-informed design</w:t>
            </w:r>
          </w:p>
        </w:tc>
        <w:tc>
          <w:tcPr/>
          <w:p>
            <w:pPr>
              <w:pStyle w:val="Normal"/>
              <w:jc w:val="left"/>
              <w:spacing w:line="240" w:lineRule="auto" w:after="0"/>
            </w:pPr>
            <w:r>
              <w:rPr>
                <w:rFonts w:ascii="Times New Roman" w:hAnsi="Times New Roman" w:cs="Times New Roman" w:eastAsia="Times New Roman"/>
                <w:sz w:val="20"/>
                <w:szCs w:val="20"/>
              </w:rPr>
              <w:t xml:space="preserve">Use retrospective data to quantify expected event loss and adjust design</w:t>
            </w:r>
          </w:p>
        </w:tc>
        <w:tc>
          <w:tcPr/>
          <w:p>
            <w:pPr>
              <w:pStyle w:val="Normal"/>
              <w:jc w:val="left"/>
              <w:spacing w:line="240" w:lineRule="auto" w:after="0"/>
            </w:pPr>
            <w:r>
              <w:rPr>
                <w:rFonts w:ascii="Times New Roman" w:hAnsi="Times New Roman" w:cs="Times New Roman" w:eastAsia="Times New Roman"/>
                <w:sz w:val="20"/>
                <w:szCs w:val="20"/>
              </w:rPr>
              <w:t xml:space="preserve">Ideal but very rare in practice</w:t>
            </w:r>
          </w:p>
        </w:tc>
      </w:tr>
      <w:tr>
        <w:tc>
          <w:tcPr/>
          <w:p>
            <w:pPr>
              <w:pStyle w:val="Normal"/>
              <w:jc w:val="left"/>
              <w:spacing w:line="240" w:lineRule="auto" w:after="0"/>
            </w:pPr>
            <w:r>
              <w:rPr>
                <w:rFonts w:ascii="Times New Roman" w:hAnsi="Times New Roman" w:cs="Times New Roman" w:eastAsia="Times New Roman"/>
                <w:sz w:val="20"/>
                <w:szCs w:val="20"/>
              </w:rPr>
              <w:t xml:space="preserve">Pragmatic / registry-based trials</w:t>
            </w:r>
          </w:p>
        </w:tc>
        <w:tc>
          <w:tcPr/>
          <w:p>
            <w:pPr>
              <w:pStyle w:val="Normal"/>
              <w:jc w:val="left"/>
              <w:spacing w:line="240" w:lineRule="auto" w:after="0"/>
            </w:pPr>
            <w:r>
              <w:rPr>
                <w:rFonts w:ascii="Times New Roman" w:hAnsi="Times New Roman" w:cs="Times New Roman" w:eastAsia="Times New Roman"/>
                <w:sz w:val="20"/>
                <w:szCs w:val="20"/>
              </w:rPr>
              <w:t xml:space="preserve">Broad eligibility, minimal exclusions, real-world enrollment</w:t>
            </w:r>
          </w:p>
        </w:tc>
        <w:tc>
          <w:tcPr/>
          <w:p>
            <w:pPr>
              <w:pStyle w:val="Normal"/>
              <w:jc w:val="left"/>
              <w:spacing w:line="240" w:lineRule="auto" w:after="0"/>
            </w:pPr>
            <w:r>
              <w:rPr>
                <w:rFonts w:ascii="Times New Roman" w:hAnsi="Times New Roman" w:cs="Times New Roman" w:eastAsia="Times New Roman"/>
                <w:sz w:val="20"/>
                <w:szCs w:val="20"/>
              </w:rPr>
              <w:t xml:space="preserve">Growing (e.g., REMAP-CAP, RECOVERY) but not yet standard</w:t>
            </w:r>
          </w:p>
        </w:tc>
      </w:tr>
    </w:tbl>
    <w:p>
      <w:pPr>
        <w:pStyle w:val="Heading2"/>
      </w:pPr>
      <w:r>
        <w:rPr>
          <w:rFonts w:ascii="Times New Roman" w:hAnsi="Times New Roman"/>
          <w:b/>
          <w:color w:val="000000"/>
          <w:sz w:val="24"/>
        </w:rPr>
        <w:t>2. Methods</w:t>
      </w:r>
    </w:p>
    <w:p>
      <w:pPr>
        <w:pStyle w:val="Heading3"/>
      </w:pPr>
      <w:r>
        <w:rPr>
          <w:rFonts w:ascii="Times New Roman" w:hAnsi="Times New Roman"/>
          <w:b/>
          <w:color w:val="000000"/>
          <w:sz w:val="24"/>
        </w:rPr>
        <w:t>Overview</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comprises three interconnected modules (Fig. 1). Module K (Counterfactual Power Simulation) quantifies how enrollment-driven risk-profile shifts reduce statistical power. Module T (Trial-Observational Bayesian Integration) combines RCT and observational evidence with explicit discounting for design-related bias. Module H (Guideline Interpreter) translates module outputs into a structured GRADE assessment. Each module can be used independently, but the framework is most informative when applied in sequence.</w:t>
      </w:r>
    </w:p>
    <w:p>
      <w:pPr>
        <w:pStyle w:val="Heading3"/>
      </w:pPr>
      <w:r>
        <w:rPr>
          <w:rFonts w:ascii="Times New Roman" w:hAnsi="Times New Roman"/>
          <w:b/>
          <w:color w:val="000000"/>
          <w:sz w:val="24"/>
        </w:rPr>
        <w:t>Module K: 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asks: if the RCTs in a meta-analysis had enrolled patients with the risk profile of the real-world target population, would the combined evidence have been sufficient to detect the effect suggested by observational studies? The simulation component follows the ADEMP reporting structure </w:t>
      </w:r>
      <w:r>
        <w:rPr>
          <w:rFonts w:ascii="Times New Roman" w:hAnsi="Times New Roman" w:cs="Times New Roman" w:eastAsia="Times New Roman"/>
          <w:sz w:val="24"/>
          <w:szCs w:val="24"/>
          <w:vertAlign w:val="superscript"/>
        </w:rPr>
        <w:t xml:space="preserve">[10]</w:t>
      </w:r>
      <w:r>
        <w:rPr>
          <w:rFonts w:ascii="Times New Roman" w:hAnsi="Times New Roman" w:cs="Times New Roman" w:eastAsia="Times New Roman"/>
          <w:sz w:val="24"/>
          <w:szCs w:val="24"/>
        </w:rPr>
        <w:t xml:space="preserve">: aims (quantify information loss from enrollment-driven risk-profile shifts), data-generating process (published aggregate event counts and sample sizes), estimands (counterfactual power under S1-S3), methods (Schoenfeld approximation with proportional-hazards data handled via the log-HR/log-OR equivalence under rare events), and performance measures (power across a grid of true effects and required sample size).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We define three enrollment scenarios: S1 (real-world target population, approximated by a representative retrospective cohort or published aggregate event rates); S2 (RCT-enrolled equivalent, defined by applying published eligibility criteria to the retrospective cohort or using observed RCT event rates); and S3 (design-optimized, incorporating prognostic enrichment).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each scenario, we compute the expected control event rate</w:t>
      </w:r>
      <w:r>
        <w:rPr>
          <w:rFonts w:ascii="Times New Roman" w:hAnsi="Times New Roman" w:cs="Times New Roman" w:eastAsia="Times New Roman"/>
          <w:sz w:val="24"/>
          <w:szCs w:val="24"/>
        </w:rPr>
        <w:t xml:space="preserve"> </w:t>
      </w:r>
      <m:oMath>
        <m:sSub>
          <m:e>
            <m:r>
              <m:t>p</m:t>
            </m:r>
          </m:e>
          <m:sub>
            <m:r>
              <m:t>c</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treatment event rate</w:t>
      </w:r>
      <w:r>
        <w:rPr>
          <w:rFonts w:ascii="Times New Roman" w:hAnsi="Times New Roman" w:cs="Times New Roman" w:eastAsia="Times New Roman"/>
          <w:sz w:val="24"/>
          <w:szCs w:val="24"/>
        </w:rPr>
        <w:t xml:space="preserve"> </w:t>
      </w:r>
      <m:oMath>
        <m:sSub>
          <m:e>
            <m:r>
              <m:t>p</m:t>
            </m:r>
          </m:e>
          <m:sub>
            <m:r>
              <m:t>t</m:t>
            </m:r>
          </m:sub>
        </m:sSub>
        <m:r>
          <m:rPr>
            <m:sty m:val="p"/>
          </m:rPr>
          <m:t>=</m:t>
        </m:r>
        <m:d>
          <m:dPr>
            <m:begChr m:val="("/>
            <m:endChr m:val=")"/>
            <m:sepChr m:val=""/>
            <m:grow/>
          </m:dPr>
          <m:e>
            <m:sSub>
              <m:e>
                <m:r>
                  <m:t>p</m:t>
                </m:r>
              </m:e>
              <m:sub>
                <m:r>
                  <m:t>c</m:t>
                </m:r>
              </m:sub>
            </m:sSub>
            <m:r>
              <m:rPr>
                <m:sty m:val="p"/>
              </m:rPr>
              <m:t>⋅</m:t>
            </m:r>
            <m:r>
              <m:rPr>
                <m:nor/>
                <m:sty m:val="p"/>
              </m:rPr>
              <m:t>OR</m:t>
            </m:r>
          </m:e>
        </m:d>
        <m:r>
          <m:rPr>
            <m:sty m:val="p"/>
          </m:rPr>
          <m:t>/</m:t>
        </m:r>
        <m:d>
          <m:dPr>
            <m:begChr m:val="("/>
            <m:endChr m:val=")"/>
            <m:sepChr m:val=""/>
            <m:grow/>
          </m:dPr>
          <m:e>
            <m:r>
              <m:t>1</m:t>
            </m:r>
            <m:r>
              <m:rPr>
                <m:sty m:val="p"/>
              </m:rPr>
              <m:t>−</m:t>
            </m:r>
            <m:sSub>
              <m:e>
                <m:r>
                  <m:t>p</m:t>
                </m:r>
              </m:e>
              <m:sub>
                <m:r>
                  <m:t>c</m:t>
                </m:r>
              </m:sub>
            </m:sSub>
            <m:r>
              <m:rPr>
                <m:sty m:val="p"/>
              </m:rPr>
              <m:t>+</m:t>
            </m:r>
            <m:sSub>
              <m:e>
                <m:r>
                  <m:t>p</m:t>
                </m:r>
              </m:e>
              <m:sub>
                <m:r>
                  <m:t>c</m:t>
                </m:r>
              </m:sub>
            </m:sSub>
            <m:r>
              <m:rPr>
                <m:sty m:val="p"/>
              </m:rPr>
              <m:t>⋅</m:t>
            </m:r>
            <m:r>
              <m:rPr>
                <m:nor/>
                <m:sty m:val="p"/>
              </m:rPr>
              <m:t>OR</m:t>
            </m:r>
          </m:e>
        </m:d>
      </m:oMath>
      <w:r>
        <w:rPr>
          <w:rFonts w:ascii="Times New Roman" w:hAnsi="Times New Roman" w:cs="Times New Roman" w:eastAsia="Times New Roman"/>
          <w:sz w:val="24"/>
          <w:szCs w:val="24"/>
        </w:rPr>
        <w:t xml:space="preserve">. The total expected number of events is</w:t>
      </w:r>
      <w:r>
        <w:rPr>
          <w:rFonts w:ascii="Times New Roman" w:hAnsi="Times New Roman" w:cs="Times New Roman" w:eastAsia="Times New Roman"/>
          <w:sz w:val="24"/>
          <w:szCs w:val="24"/>
        </w:rPr>
        <w:t xml:space="preserve"> </w:t>
      </w:r>
      <m:oMath>
        <m:r>
          <m:t>D</m:t>
        </m:r>
        <m:r>
          <m:rPr>
            <m:sty m:val="p"/>
          </m:rPr>
          <m:t>=</m:t>
        </m:r>
        <m:r>
          <m:t>N</m:t>
        </m:r>
        <m:d>
          <m:dPr>
            <m:begChr m:val="("/>
            <m:endChr m:val=")"/>
            <m:sepChr m:val=""/>
            <m:grow/>
          </m:dPr>
          <m:e>
            <m:sSub>
              <m:e>
                <m:r>
                  <m:t>p</m:t>
                </m:r>
              </m:e>
              <m:sub>
                <m:r>
                  <m:t>c</m:t>
                </m:r>
              </m:sub>
            </m:sSub>
            <m:r>
              <m:rPr>
                <m:sty m:val="p"/>
              </m:rPr>
              <m:t>+</m:t>
            </m:r>
            <m:sSub>
              <m:e>
                <m:r>
                  <m:t>p</m:t>
                </m:r>
              </m:e>
              <m:sub>
                <m:r>
                  <m:t>t</m:t>
                </m:r>
              </m:sub>
            </m:sSub>
          </m:e>
        </m:d>
        <m:r>
          <m:rPr>
            <m:sty m:val="p"/>
          </m:rPr>
          <m:t>/</m:t>
        </m:r>
        <m:r>
          <m:t>2</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a trial of</w:t>
      </w:r>
      <w:r>
        <w:rPr>
          <w:rFonts w:ascii="Times New Roman" w:hAnsi="Times New Roman" w:cs="Times New Roman" w:eastAsia="Times New Roman"/>
          <w:sz w:val="24"/>
          <w:szCs w:val="24"/>
        </w:rPr>
        <w:t xml:space="preserve"> </w:t>
      </w:r>
      <m:oMath>
        <m:r>
          <m:t>N</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2</m:t>
        </m:r>
        <m:r>
          <m:rPr>
            <m:sty m:val="p"/>
          </m:rPr>
          <m:t>/</m:t>
        </m:r>
        <m:rad>
          <m:radPr>
            <m:degHide m:val="on"/>
          </m:radPr>
          <m:deg/>
          <m:e>
            <m:r>
              <m:t>D</m:t>
            </m:r>
          </m:e>
        </m:rad>
      </m:oMath>
      <w:r>
        <w:rPr>
          <w:rFonts w:ascii="Times New Roman" w:hAnsi="Times New Roman" w:cs="Times New Roman" w:eastAsia="Times New Roman"/>
          <w:sz w:val="24"/>
          <w:szCs w:val="24"/>
        </w:rPr>
        <w:t xml:space="preserve">, yielding the power function</w:t>
      </w:r>
      <w:r>
        <w:rPr>
          <w:rFonts w:ascii="Times New Roman" w:hAnsi="Times New Roman" w:cs="Times New Roman" w:eastAsia="Times New Roman"/>
          <w:sz w:val="24"/>
          <w:szCs w:val="24"/>
        </w:rPr>
        <w:t xml:space="preserve">patients randomized 1:1. Under the Schoenfeld approximation </w:t>
      </w:r>
      <w:r>
        <w:rPr>
          <w:rFonts w:ascii="Times New Roman" w:hAnsi="Times New Roman" w:cs="Times New Roman" w:eastAsia="Times New Roman"/>
          <w:sz w:val="24"/>
          <w:szCs w:val="24"/>
          <w:vertAlign w:val="superscript"/>
        </w:rPr>
        <w:t xml:space="preserve">[11]</w:t>
      </w:r>
      <w:r>
        <w:rPr>
          <w:rFonts w:ascii="Times New Roman" w:hAnsi="Times New Roman" w:cs="Times New Roman" w:eastAsia="Times New Roman"/>
          <w:sz w:val="24"/>
          <w:szCs w:val="24"/>
        </w:rPr>
        <w:t xml:space="preserve">, the standard error of the log relative effect (log-OR or log-HR under proportional hazards) is approximately</w:t>
      </w:r>
    </w:p>
    <w:p xmlns:a="http://schemas.openxmlformats.org/drawingml/2006/main" xmlns:pic="http://schemas.openxmlformats.org/drawingml/2006/picture">
      <w:pPr>
        <w:pStyle w:val="Normal"/>
        <w:jc w:val="center"/>
        <w:spacing w:line="480" w:lineRule="auto" w:after="120"/>
      </w:pPr>
      <m:oMathPara>
        <m:oMathParaPr>
          <m:jc m:val="center"/>
        </m:oMathParaPr>
        <m:oMath>
          <m:r>
            <m:rPr>
              <m:nor/>
              <m:sty m:val="p"/>
            </m:rPr>
            <m:t>Power</m:t>
          </m:r>
          <m:r>
            <m:rPr>
              <m:sty m:val="p"/>
            </m:rPr>
            <m:t>=</m:t>
          </m:r>
          <m:r>
            <m:t>Φ</m:t>
          </m:r>
          <m:d>
            <m:dPr>
              <m:begChr m:val="("/>
              <m:endChr m:val=")"/>
              <m:sepChr m:val=""/>
              <m:grow/>
            </m:dPr>
            <m:e>
              <m:d>
                <m:dPr>
                  <m:begChr m:val="|"/>
                  <m:endChr m:val="|"/>
                  <m:sepChr m:val=""/>
                  <m:grow/>
                </m:dPr>
                <m:e>
                  <m:r>
                    <m:rPr>
                      <m:sty m:val="p"/>
                    </m:rPr>
                    <m:t>log</m:t>
                  </m:r>
                  <m:d>
                    <m:dPr>
                      <m:begChr m:val="("/>
                      <m:endChr m:val=")"/>
                      <m:sepChr m:val=""/>
                      <m:grow/>
                    </m:dPr>
                    <m:e>
                      <m:r>
                        <m:rPr>
                          <m:nor/>
                          <m:sty m:val="p"/>
                        </m:rPr>
                        <m:t>OR or HR</m:t>
                      </m:r>
                    </m:e>
                  </m:d>
                </m:e>
              </m:d>
              <m:r>
                <m:rPr>
                  <m:sty m:val="p"/>
                </m:rPr>
                <m:t>⋅</m:t>
              </m:r>
              <m:rad>
                <m:radPr>
                  <m:degHide m:val="on"/>
                </m:radPr>
                <m:deg/>
                <m:e>
                  <m:r>
                    <m:t>D</m:t>
                  </m:r>
                </m:e>
              </m:rad>
              <m:r>
                <m:rPr>
                  <m:sty m:val="p"/>
                </m:rPr>
                <m:t>/</m:t>
              </m:r>
              <m:r>
                <m:t>2</m:t>
              </m:r>
              <m:r>
                <m:rPr>
                  <m:sty m:val="p"/>
                </m:rPr>
                <m:t>−</m:t>
              </m:r>
              <m:sSub>
                <m:e>
                  <m:r>
                    <m:t>z</m:t>
                  </m:r>
                </m:e>
                <m:sub>
                  <m:r>
                    <m:t>α</m:t>
                  </m:r>
                  <m:r>
                    <m:rPr>
                      <m:sty m:val="p"/>
                    </m:rPr>
                    <m:t>/</m:t>
                  </m:r>
                  <m:r>
                    <m:t>2</m:t>
                  </m:r>
                </m:sub>
              </m:sSub>
            </m:e>
          </m:d>
        </m:oMath>
      </m:oMathPara>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where</w:t>
      </w:r>
      <w:r>
        <w:rPr>
          <w:rFonts w:ascii="Times New Roman" w:hAnsi="Times New Roman" w:cs="Times New Roman" w:eastAsia="Times New Roman"/>
          <w:sz w:val="24"/>
          <w:szCs w:val="24"/>
        </w:rPr>
        <w:t xml:space="preserve"> </w:t>
      </w:r>
      <m:oMath>
        <m:r>
          <m:t>Φ</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the standard normal cumulative distribution function. The ratio</w:t>
      </w:r>
      <w:r>
        <w:rPr>
          <w:rFonts w:ascii="Times New Roman" w:hAnsi="Times New Roman" w:cs="Times New Roman" w:eastAsia="Times New Roman"/>
          <w:sz w:val="24"/>
          <w:szCs w:val="24"/>
        </w:rPr>
        <w:t xml:space="preserve"> </w:t>
      </w:r>
      <m:oMath>
        <m:r>
          <m:t>ρ</m:t>
        </m:r>
        <m:r>
          <m:rPr>
            <m:sty m:val="p"/>
          </m:rPr>
          <m:t>=</m:t>
        </m:r>
        <m:sSubSup>
          <m:e>
            <m:r>
              <m:t>p</m:t>
            </m:r>
          </m:e>
          <m:sub>
            <m:r>
              <m:t>c</m:t>
            </m:r>
          </m:sub>
          <m:sup>
            <m:d>
              <m:dPr>
                <m:begChr m:val="("/>
                <m:endChr m:val=")"/>
                <m:sepChr m:val=""/>
                <m:grow/>
              </m:dPr>
              <m:e>
                <m:r>
                  <m:t>S</m:t>
                </m:r>
                <m:r>
                  <m:t>2</m:t>
                </m:r>
              </m:e>
            </m:d>
          </m:sup>
        </m:sSubSup>
        <m:r>
          <m:rPr>
            <m:sty m:val="p"/>
          </m:rPr>
          <m:t>/</m:t>
        </m:r>
        <m:sSubSup>
          <m:e>
            <m:r>
              <m:t>p</m:t>
            </m:r>
          </m:e>
          <m:sub>
            <m:r>
              <m:t>c</m:t>
            </m:r>
          </m:sub>
          <m:sup>
            <m:d>
              <m:dPr>
                <m:begChr m:val="("/>
                <m:endChr m:val=")"/>
                <m:sepChr m:val=""/>
                <m:grow/>
              </m:dPr>
              <m:e>
                <m:r>
                  <m:t>S</m:t>
                </m:r>
                <m:r>
                  <m:t>1</m:t>
                </m:r>
              </m:e>
            </m:d>
          </m:sup>
        </m:sSub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quantifies event dilution. Module K reports power across a grid of assumed true effects and computes the sample size required to reach 80% power under each scenario. For the statins case, which reports hazard ratios, the hazard ratio is approximated by an odds ratio under the rare-event assumption and crude control event proportions derived from the aggregate data are used as approximate event probabilities; this comparison is intended to illustrate the relative power loss across enrollment scenarios rather than to provide exact sample-size estimates for a specific follow-up duration.</w:t>
      </w:r>
    </w:p>
    <w:p>
      <w:pPr>
        <w:pStyle w:val="Heading3"/>
      </w:pPr>
      <w:r>
        <w:rPr>
          <w:rFonts w:ascii="Times New Roman" w:hAnsi="Times New Roman"/>
          <w:b/>
          <w:color w:val="000000"/>
          <w:sz w:val="24"/>
        </w:rPr>
        <w:t>Module T: Hierarchical Bayesian evidence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When Module K indicates that RCT evidence is informationally insufficient, Module T combines RCT and observational evidence while discounting the observational likelihood for potential design-specific bias. Let</w:t>
      </w:r>
      <w:r>
        <w:rPr>
          <w:rFonts w:ascii="Times New Roman" w:hAnsi="Times New Roman" w:cs="Times New Roman" w:eastAsia="Times New Roman"/>
          <w:sz w:val="24"/>
          <w:szCs w:val="24"/>
        </w:rPr>
        <w:t xml:space="preserve"> </w:t>
      </w:r>
      <m:oMath>
        <m:sSub>
          <m:e>
            <m:r>
              <m:t>y</m:t>
            </m:r>
          </m:e>
          <m:sub>
            <m:r>
              <m:t>i</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denote the reported log effect size from study</w:t>
      </w:r>
      <w:r>
        <w:rPr>
          <w:rFonts w:ascii="Times New Roman" w:hAnsi="Times New Roman" w:cs="Times New Roman" w:eastAsia="Times New Roman"/>
          <w:sz w:val="24"/>
          <w:szCs w:val="24"/>
        </w:rPr>
        <w:t xml:space="preserve"> </w:t>
      </w:r>
      <m:oMath>
        <m:r>
          <m:t>i</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standard error</w:t>
      </w:r>
      <w:r>
        <w:rPr>
          <w:rFonts w:ascii="Times New Roman" w:hAnsi="Times New Roman" w:cs="Times New Roman" w:eastAsia="Times New Roman"/>
          <w:sz w:val="24"/>
          <w:szCs w:val="24"/>
        </w:rPr>
        <w:t xml:space="preserve"> </w:t>
      </w:r>
      <m:oMath>
        <m:sSub>
          <m:e>
            <m:r>
              <m:t>s</m:t>
            </m:r>
          </m:e>
          <m:sub>
            <m:r>
              <m:t>i</m:t>
            </m:r>
          </m:sub>
        </m:sSub>
      </m:oMath>
      <w:r>
        <w:rPr>
          <w:rFonts w:ascii="Times New Roman" w:hAnsi="Times New Roman" w:cs="Times New Roman" w:eastAsia="Times New Roman"/>
          <w:sz w:val="24"/>
          <w:szCs w:val="24"/>
        </w:rPr>
        <w:t xml:space="preserve">. The RCT evidence contributes its full likelihood; the observational evidence contributes a power-prior-discounted likelihood with factor</w:t>
      </w:r>
      <w:r>
        <w:rPr>
          <w:rFonts w:ascii="Times New Roman" w:hAnsi="Times New Roman" w:cs="Times New Roman" w:eastAsia="Times New Roman"/>
          <w:sz w:val="24"/>
          <w:szCs w:val="24"/>
        </w:rPr>
        <w:t xml:space="preserve"> </w:t>
      </w:r>
      <m:oMath>
        <m:r>
          <m:t>α</m:t>
        </m:r>
        <m:r>
          <m:rPr>
            <m:sty m:val="p"/>
          </m:rPr>
          <m:t>∈</m:t>
        </m:r>
        <m:d>
          <m:dPr>
            <m:begChr m:val="["/>
            <m:endChr m:val="]"/>
            <m:sepChr m:val=""/>
            <m:grow/>
          </m:dPr>
          <m:e>
            <m:r>
              <m:t>0</m:t>
            </m:r>
            <m:r>
              <m:rPr>
                <m:sty m:val="p"/>
              </m:rPr>
              <m:t>,</m:t>
            </m:r>
            <m:r>
              <m:t>1</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α</m:t>
        </m:r>
        <m:r>
          <m:rPr>
            <m:sty m:val="p"/>
          </m:rPr>
          <m:t>=</m:t>
        </m:r>
        <m:r>
          <m:t>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retains only RCTs and</w:t>
      </w:r>
      <w:r>
        <w:rPr>
          <w:rFonts w:ascii="Times New Roman" w:hAnsi="Times New Roman" w:cs="Times New Roman" w:eastAsia="Times New Roman"/>
          <w:sz w:val="24"/>
          <w:szCs w:val="24"/>
        </w:rPr>
        <w:t xml:space="preserve"> </w:t>
      </w:r>
      <m:oMath>
        <m:r>
          <m:t>α</m:t>
        </m:r>
        <m:r>
          <m:rPr>
            <m:sty m:val="p"/>
          </m:rPr>
          <m:t>=</m:t>
        </m:r>
        <m:r>
          <m:t>1</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gives observational data full weight. Between-study heterogeneity is modeled with a random-effects distribution</w:t>
      </w:r>
      <w:r>
        <w:rPr>
          <w:rFonts w:ascii="Times New Roman" w:hAnsi="Times New Roman" w:cs="Times New Roman" w:eastAsia="Times New Roman"/>
          <w:sz w:val="24"/>
          <w:szCs w:val="24"/>
        </w:rPr>
        <w:t xml:space="preserve"> </w:t>
      </w:r>
      <m:oMath>
        <m:sSub>
          <m:e>
            <m:r>
              <m:t>u</m:t>
            </m:r>
          </m:e>
          <m:sub>
            <m:r>
              <m:t>i</m:t>
            </m:r>
          </m:sub>
        </m:sSub>
        <m:r>
          <m:rPr>
            <m:sty m:val="p"/>
          </m:rPr>
          <m:t>∼</m:t>
        </m:r>
        <m:r>
          <m:rPr>
            <m:nor/>
            <m:sty m:val="p"/>
          </m:rPr>
          <m:t>Normal</m:t>
        </m:r>
        <m:d>
          <m:dPr>
            <m:begChr m:val="("/>
            <m:endChr m:val=")"/>
            <m:sepChr m:val=""/>
            <m:grow/>
          </m:dPr>
          <m:e>
            <m:r>
              <m:t>0</m:t>
            </m:r>
            <m:r>
              <m:rPr>
                <m:sty m:val="p"/>
              </m:rPr>
              <m:t>,</m:t>
            </m:r>
            <m:sSup>
              <m:e>
                <m:r>
                  <m:t>τ</m:t>
                </m:r>
              </m:e>
              <m:sup>
                <m:r>
                  <m:t>2</m:t>
                </m:r>
              </m:sup>
            </m:sSup>
          </m:e>
        </m:d>
      </m:oMath>
      <w:r>
        <w:rPr>
          <w:rFonts w:ascii="Times New Roman" w:hAnsi="Times New Roman" w:cs="Times New Roman" w:eastAsia="Times New Roman"/>
          <w:sz w:val="24"/>
          <w:szCs w:val="24"/>
        </w:rPr>
        <w:t xml:space="preserve">. We used weakly informative priors</w:t>
      </w:r>
      <w:r>
        <w:rPr>
          <w:rFonts w:ascii="Times New Roman" w:hAnsi="Times New Roman" w:cs="Times New Roman" w:eastAsia="Times New Roman"/>
          <w:sz w:val="24"/>
          <w:szCs w:val="24"/>
        </w:rPr>
        <w:t xml:space="preserve"> </w:t>
      </w:r>
      <m:oMath>
        <m:r>
          <m:t>μ</m:t>
        </m:r>
        <m:r>
          <m:rPr>
            <m:sty m:val="p"/>
          </m:rPr>
          <m:t>∼</m:t>
        </m:r>
        <m:r>
          <m:t>N</m:t>
        </m:r>
        <m:d>
          <m:dPr>
            <m:begChr m:val="("/>
            <m:endChr m:val=")"/>
            <m:sepChr m:val=""/>
            <m:grow/>
          </m:dPr>
          <m:e>
            <m:r>
              <m:t>0</m:t>
            </m:r>
            <m:r>
              <m:rPr>
                <m:sty m:val="p"/>
              </m:rPr>
              <m:t>,</m:t>
            </m:r>
            <m:sSup>
              <m:e>
                <m:r>
                  <m:t>10</m:t>
                </m:r>
              </m:e>
              <m:sup>
                <m:r>
                  <m:t>2</m:t>
                </m:r>
              </m:sup>
            </m:sSup>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population mean log effect and</w:t>
      </w:r>
      <w:r>
        <w:rPr>
          <w:rFonts w:ascii="Times New Roman" w:hAnsi="Times New Roman" w:cs="Times New Roman" w:eastAsia="Times New Roman"/>
          <w:sz w:val="24"/>
          <w:szCs w:val="24"/>
        </w:rPr>
        <w:t xml:space="preserve"> </w:t>
      </w:r>
      <m:oMath>
        <m:r>
          <m:t>τ</m:t>
        </m:r>
        <m:r>
          <m:rPr>
            <m:sty m:val="p"/>
          </m:rPr>
          <m:t>∼</m:t>
        </m:r>
        <m:r>
          <m:rPr>
            <m:nor/>
            <m:sty m:val="p"/>
          </m:rPr>
          <m:t>Half-Cauchy</m:t>
        </m:r>
        <m:d>
          <m:dPr>
            <m:begChr m:val="("/>
            <m:endChr m:val=")"/>
            <m:sepChr m:val=""/>
            <m:grow/>
          </m:dPr>
          <m:e>
            <m:r>
              <m:t>0</m:t>
            </m:r>
            <m:r>
              <m:rPr>
                <m:sty m:val="p"/>
              </m:rPr>
              <m:t>,</m:t>
            </m:r>
            <m:r>
              <m:t>0.5</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between-study standard deviation, with</w:t>
      </w:r>
      <w:r>
        <w:rPr>
          <w:rFonts w:ascii="Times New Roman" w:hAnsi="Times New Roman" w:cs="Times New Roman" w:eastAsia="Times New Roman"/>
          <w:sz w:val="24"/>
          <w:szCs w:val="24"/>
        </w:rPr>
        <w:t xml:space="preserve"> </w:t>
      </w:r>
      <m:oMath>
        <m:r>
          <m:t>τ</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bounded between</w:t>
      </w:r>
      <w:r>
        <w:rPr>
          <w:rFonts w:ascii="Times New Roman" w:hAnsi="Times New Roman" w:cs="Times New Roman" w:eastAsia="Times New Roman"/>
          <w:sz w:val="24"/>
          <w:szCs w:val="24"/>
        </w:rPr>
        <w:t xml:space="preserve"> </w:t>
      </w:r>
      <m:oMath>
        <m:sSup>
          <m:e>
            <m:r>
              <m:t>10</m:t>
            </m:r>
          </m:e>
          <m:sup>
            <m:r>
              <m:rPr>
                <m:sty m:val="p"/>
              </m:rPr>
              <m:t>−</m:t>
            </m:r>
            <m:r>
              <m:t>9</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w:t>
      </w:r>
      <w:r>
        <w:rPr>
          <w:rFonts w:ascii="Times New Roman" w:hAnsi="Times New Roman" w:cs="Times New Roman" w:eastAsia="Times New Roman"/>
          <w:sz w:val="24"/>
          <w:szCs w:val="24"/>
        </w:rPr>
        <w:t xml:space="preserve"> </w:t>
      </w:r>
      <m:oMath>
        <m:r>
          <m:t>100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w:t>
      </w:r>
      <w:r>
        <w:rPr>
          <w:rFonts w:ascii="Times New Roman" w:hAnsi="Times New Roman" w:cs="Times New Roman" w:eastAsia="Times New Roman"/>
          <w:sz w:val="24"/>
          <w:szCs w:val="24"/>
        </w:rPr>
        <w:t xml:space="preserve"> </w:t>
      </w:r>
      <m:oMath>
        <m:d>
          <m:dPr>
            <m:begChr m:val="("/>
            <m:endChr m:val=")"/>
            <m:sepChr m:val=""/>
            <m:grow/>
          </m:dPr>
          <m:e>
            <m:r>
              <m:t>0</m:t>
            </m:r>
            <m:r>
              <m:rPr>
                <m:sty m:val="p"/>
              </m:rPr>
              <m:t>,</m:t>
            </m:r>
            <m:r>
              <m:t>0.1</m:t>
            </m:r>
            <m:r>
              <m:rPr>
                <m:sty m:val="p"/>
              </m:rPr>
              <m:t>,</m:t>
            </m:r>
            <m:r>
              <m:t>0.2</m:t>
            </m:r>
            <m:r>
              <m:rPr>
                <m:sty m:val="p"/>
              </m:rPr>
              <m:t>,</m:t>
            </m:r>
            <m:r>
              <m:t>0.3</m:t>
            </m:r>
            <m:r>
              <m:rPr>
                <m:sty m:val="p"/>
              </m:rPr>
              <m:t>,</m:t>
            </m:r>
            <m:r>
              <m:t>0.5</m:t>
            </m:r>
            <m:r>
              <m:rPr>
                <m:sty m:val="p"/>
              </m:rPr>
              <m:t>,</m:t>
            </m:r>
            <m:r>
              <m:t>0.7</m:t>
            </m:r>
            <m:r>
              <m:rPr>
                <m:sty m:val="p"/>
              </m:rPr>
              <m:t>,</m:t>
            </m:r>
            <m:r>
              <m:t>1.0</m:t>
            </m:r>
          </m:e>
        </m:d>
      </m:oMath>
      <w:r>
        <w:rPr>
          <w:rFonts w:ascii="Times New Roman" w:hAnsi="Times New Roman" w:cs="Times New Roman" w:eastAsia="Times New Roman"/>
          <w:sz w:val="24"/>
          <w:szCs w:val="24"/>
        </w:rPr>
        <w:t xml:space="preserve">. Convergence was assessed with split-R-hat and effective sample size (ESS) for the population mean log effect and the between-study heterogeneity, using accepted thresholds (split-R-hat &lt; 1.05; ESS per parameter &gt; 400). Trace plots for selected chains are provided as Supplementary Figures S1a (magnesium) and S1b (statins) and showed no obvious non-stationarity. Across all discounting factors the minimum ESS was 972 and the maximum split-R-hat was 1.024, both satisfying the convergence criteria. We report the full grid to show sensitivity and use</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as an illustrative moderate-discounting value without claiming it is universally optimal.</w:t>
      </w:r>
      <w:r>
        <w:rPr>
          <w:rFonts w:ascii="Times New Roman" w:hAnsi="Times New Roman" w:cs="Times New Roman" w:eastAsia="Times New Roman"/>
          <w:sz w:val="24"/>
          <w:szCs w:val="24"/>
          <w:vertAlign w:val="superscript"/>
        </w:rPr>
        <w:t xml:space="preserve">[12]</w:t>
      </w:r>
      <w:r>
        <w:rPr>
          <w:rFonts w:ascii="Times New Roman" w:hAnsi="Times New Roman" w:cs="Times New Roman" w:eastAsia="Times New Roman"/>
          <w:sz w:val="24"/>
          <w:szCs w:val="24"/>
        </w:rPr>
        <w:t xml:space="preserve">, so that</w:t>
      </w:r>
      <w:r>
        <w:rPr>
          <w:rFonts w:ascii="Times New Roman" w:hAnsi="Times New Roman" w:cs="Times New Roman" w:eastAsia="Times New Roman"/>
          <w:sz w:val="24"/>
          <w:szCs w:val="24"/>
        </w:rPr>
        <w:t xml:space="preserve">for numerical stability. Alternative effect measures such as restricted mean survival time can be substituted when proportional-hazards assumptions are questionable </w:t>
      </w:r>
      <w:r>
        <w:rPr>
          <w:rFonts w:ascii="Times New Roman" w:hAnsi="Times New Roman" w:cs="Times New Roman" w:eastAsia="Times New Roman"/>
          <w:sz w:val="24"/>
          <w:szCs w:val="24"/>
          <w:vertAlign w:val="superscript"/>
        </w:rPr>
        <w:t xml:space="preserve">[13-14]</w:t>
      </w:r>
      <w:r>
        <w:rPr>
          <w:rFonts w:ascii="Times New Roman" w:hAnsi="Times New Roman" w:cs="Times New Roman" w:eastAsia="Times New Roman"/>
          <w:sz w:val="24"/>
          <w:szCs w:val="24"/>
        </w:rPr>
        <w:t xml:space="preserve">. Evidence-based priors have been proposed to anchor historical expectations while limiting prior-data conflict </w:t>
      </w:r>
      <w:r>
        <w:rPr>
          <w:rFonts w:ascii="Times New Roman" w:hAnsi="Times New Roman" w:cs="Times New Roman" w:eastAsia="Times New Roman"/>
          <w:sz w:val="24"/>
          <w:szCs w:val="24"/>
          <w:vertAlign w:val="superscript"/>
        </w:rPr>
        <w:t xml:space="preserve">[15]</w:t>
      </w:r>
      <w:r>
        <w:rPr>
          <w:rFonts w:ascii="Times New Roman" w:hAnsi="Times New Roman" w:cs="Times New Roman" w:eastAsia="Times New Roman"/>
          <w:sz w:val="24"/>
          <w:szCs w:val="24"/>
        </w:rPr>
        <w:t xml:space="preserve">. We also present bias-adjusted normal-approximation analyses as a sensitivity check. Posterior distributions are sampled with an affine-invariant ensemble MCMC </w:t>
      </w:r>
      <w:r>
        <w:rPr>
          <w:rFonts w:ascii="Times New Roman" w:hAnsi="Times New Roman" w:cs="Times New Roman" w:eastAsia="Times New Roman"/>
          <w:sz w:val="24"/>
          <w:szCs w:val="24"/>
          <w:vertAlign w:val="superscript"/>
        </w:rPr>
        <w:t xml:space="preserve">[16]</w:t>
      </w:r>
      <w:r>
        <w:rPr>
          <w:rFonts w:ascii="Times New Roman" w:hAnsi="Times New Roman" w:cs="Times New Roman" w:eastAsia="Times New Roman"/>
          <w:sz w:val="24"/>
          <w:szCs w:val="24"/>
        </w:rPr>
        <w:t xml:space="preserve"> using 16 walkers, 1,000 warmup and 4,000 post-warmup iterations per walker, for each</w:t>
      </w:r>
    </w:p>
    <w:p>
      <w:pPr>
        <w:pStyle w:val="Heading3"/>
      </w:pPr>
      <w:r>
        <w:rPr>
          <w:rFonts w:ascii="Times New Roman" w:hAnsi="Times New Roman"/>
          <w:b/>
          <w:color w:val="000000"/>
          <w:sz w:val="24"/>
        </w:rPr>
        <w:t>Module H: Guideline interpretation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H maps the outputs of Modules K and T onto the GRADE framework </w:t>
      </w:r>
      <w:r>
        <w:rPr>
          <w:rFonts w:ascii="Times New Roman" w:hAnsi="Times New Roman" w:cs="Times New Roman" w:eastAsia="Times New Roman"/>
          <w:sz w:val="24"/>
          <w:szCs w:val="24"/>
          <w:vertAlign w:val="superscript"/>
        </w:rPr>
        <w:t xml:space="preserve">[1]</w:t>
      </w:r>
      <w:r>
        <w:rPr>
          <w:rFonts w:ascii="Times New Roman" w:hAnsi="Times New Roman" w:cs="Times New Roman" w:eastAsia="Times New Roman"/>
          <w:sz w:val="24"/>
          <w:szCs w:val="24"/>
        </w:rPr>
        <w:t xml:space="preserve">. It includes five assessments (Table 2): information sufficiency (OIS vs observed events), confidence interval interpretation, representativeness (event rate ratio), TSA boundary status, and recommended language. For CI interpretation, we used relative effect boundaries of 0.80 and 1.25 to define clinically important benefit and harm. For representativeness, event-rate ratios below 0.67 or above 1.50 (a relative shift of 50% or more) are classified as serious indirectness, and ratios below 0.80 or above 1.25 (a relative shift of 25% or more) as moderate indirectness. These thresholds correspond to conventional boundaries for clinically important relative effects. The result is a KOTHA-enhanced certainty rating and recommendation that explicitly distinguishes "evidence of effect," "evidence of no effect," and "no evidence of effect (inconsistent or indirect)."</w:t>
      </w:r>
    </w:p>
    <w:p>
      <w:pPr>
        <w:pStyle w:val="Heading3"/>
      </w:pPr>
      <w:r>
        <w:rPr>
          <w:rFonts w:ascii="Times New Roman" w:hAnsi="Times New Roman"/>
          <w:b/>
          <w:color w:val="000000"/>
          <w:sz w:val="24"/>
        </w:rPr>
        <w:t>Formal causal model and operating-characteristics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quantify the operating characteristics of the KOTHA evidence combination rule, we specified a transparent data-generating process that mimics the two empirical cases. Let</w:t>
      </w:r>
      <w:r>
        <w:rPr>
          <w:rFonts w:ascii="Times New Roman" w:hAnsi="Times New Roman" w:cs="Times New Roman" w:eastAsia="Times New Roman"/>
          <w:sz w:val="24"/>
          <w:szCs w:val="24"/>
        </w:rPr>
        <w:t xml:space="preserve"> </w:t>
      </w:r>
      <m:oMath>
        <m:sSub>
          <m:e>
            <m:r>
              <m:t>Z</m:t>
            </m:r>
          </m:e>
          <m:sub>
            <m:r>
              <m:t>i</m:t>
            </m:r>
          </m:sub>
        </m:sSub>
        <m:r>
          <m:rPr>
            <m:sty m:val="p"/>
          </m:rPr>
          <m:t>∼</m:t>
        </m:r>
        <m:r>
          <m:rPr>
            <m:nor/>
            <m:sty m:val="p"/>
          </m:rPr>
          <m:t>Logit-Normal</m:t>
        </m:r>
        <m:d>
          <m:dPr>
            <m:begChr m:val="("/>
            <m:endChr m:val=")"/>
            <m:sepChr m:val=""/>
            <m:grow/>
          </m:dPr>
          <m:e>
            <m:sSub>
              <m:e>
                <m:r>
                  <m:t>μ</m:t>
                </m:r>
              </m:e>
              <m:sub>
                <m:r>
                  <m:t>Z</m:t>
                </m:r>
              </m:sub>
            </m:sSub>
            <m:r>
              <m:rPr>
                <m:sty m:val="p"/>
              </m:rPr>
              <m:t>,</m:t>
            </m:r>
            <m:sSubSup>
              <m:e>
                <m:r>
                  <m:t>σ</m:t>
                </m:r>
              </m:e>
              <m:sub>
                <m:r>
                  <m:t>Z</m:t>
                </m:r>
              </m:sub>
              <m:sup>
                <m:r>
                  <m:t>2</m:t>
                </m:r>
              </m:sup>
            </m:sSubSup>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denote the baseline risk of trial</w:t>
      </w:r>
      <w:r>
        <w:rPr>
          <w:rFonts w:ascii="Times New Roman" w:hAnsi="Times New Roman" w:cs="Times New Roman" w:eastAsia="Times New Roman"/>
          <w:sz w:val="24"/>
          <w:szCs w:val="24"/>
        </w:rPr>
        <w:t xml:space="preserve"> </w:t>
      </w:r>
      <m:oMath>
        <m:r>
          <m:t>i</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log-odds scale. The true treatment effect in that population is</w:t>
      </w:r>
      <w:r>
        <w:rPr>
          <w:rFonts w:ascii="Times New Roman" w:hAnsi="Times New Roman" w:cs="Times New Roman" w:eastAsia="Times New Roman"/>
          <w:sz w:val="24"/>
          <w:szCs w:val="24"/>
        </w:rPr>
        <w:t xml:space="preserve"> </w:t>
      </w:r>
      <m:oMath>
        <m:sSub>
          <m:e>
            <m:r>
              <m:rPr>
                <m:nor/>
                <m:sty m:val="p"/>
              </m:rPr>
              <m:t>log OR</m:t>
            </m:r>
          </m:e>
          <m:sub>
            <m:r>
              <m:t>i</m:t>
            </m:r>
          </m:sub>
        </m:sSub>
        <m:r>
          <m:rPr>
            <m:sty m:val="p"/>
          </m:rPr>
          <m:t>=</m:t>
        </m:r>
        <m:sSub>
          <m:e>
            <m:r>
              <m:t>θ</m:t>
            </m:r>
          </m:e>
          <m:sub>
            <m:r>
              <m:t>0</m:t>
            </m:r>
          </m:sub>
        </m:sSub>
        <m:r>
          <m:rPr>
            <m:sty m:val="p"/>
          </m:rPr>
          <m:t>+</m:t>
        </m:r>
        <m:r>
          <m:t>γ</m:t>
        </m:r>
        <m:sSub>
          <m:e>
            <m:r>
              <m:t>Z</m:t>
            </m:r>
          </m:e>
          <m:sub>
            <m:r>
              <m:t>i</m:t>
            </m:r>
          </m:sub>
        </m:sSub>
      </m:oMath>
      <w:r>
        <w:rPr>
          <w:rFonts w:ascii="Times New Roman" w:hAnsi="Times New Roman" w:cs="Times New Roman" w:eastAsia="Times New Roman"/>
          <w:sz w:val="24"/>
          <w:szCs w:val="24"/>
        </w:rPr>
        <w:t xml:space="preserve">, with</w:t>
      </w:r>
      <w:r>
        <w:rPr>
          <w:rFonts w:ascii="Times New Roman" w:hAnsi="Times New Roman" w:cs="Times New Roman" w:eastAsia="Times New Roman"/>
          <w:sz w:val="24"/>
          <w:szCs w:val="24"/>
        </w:rPr>
        <w:t xml:space="preserve"> </w:t>
      </w:r>
      <m:oMath>
        <m:r>
          <m:t>γ</m:t>
        </m:r>
        <m:r>
          <m:rPr>
            <m:sty m:val="p"/>
          </m:rPr>
          <m:t>&lt;</m:t>
        </m:r>
        <m:r>
          <m:t>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meaning that baseline risk modifies the treatment effect (higher-risk patients experience larger absolute or relative benefit). The target population is all hypothetical RCTs; the enrolled population is a lower-risk subset selected by a quantile threshold on</w:t>
      </w:r>
      <w:r>
        <w:rPr>
          <w:rFonts w:ascii="Times New Roman" w:hAnsi="Times New Roman" w:cs="Times New Roman" w:eastAsia="Times New Roman"/>
          <w:sz w:val="24"/>
          <w:szCs w:val="24"/>
        </w:rPr>
        <w:t xml:space="preserve"> </w:t>
      </w:r>
      <m:oMath>
        <m:sSub>
          <m:e>
            <m:r>
              <m:t>Z</m:t>
            </m:r>
          </m:e>
          <m:sub>
            <m:r>
              <m:t>i</m:t>
            </m:r>
          </m:sub>
        </m:sSub>
      </m:oMath>
      <w:r>
        <w:rPr>
          <w:rFonts w:ascii="Times New Roman" w:hAnsi="Times New Roman" w:cs="Times New Roman" w:eastAsia="Times New Roman"/>
          <w:sz w:val="24"/>
          <w:szCs w:val="24"/>
        </w:rPr>
        <w:t xml:space="preserve">. This is the formal mechanism for structural information loss: the RCT-enrolled meta-analysis estimates the treatment effect in a selected, lower-risk subpopulation rather than the target estimand</w:t>
      </w:r>
      <w:r>
        <w:rPr>
          <w:rFonts w:ascii="Times New Roman" w:hAnsi="Times New Roman" w:cs="Times New Roman" w:eastAsia="Times New Roman"/>
          <w:sz w:val="24"/>
          <w:szCs w:val="24"/>
        </w:rPr>
        <w:t xml:space="preserve"> </w:t>
      </w:r>
      <m:oMath>
        <m:r>
          <m:rPr>
            <m:sty m:val="p"/>
            <m:scr m:val="double-struck"/>
          </m:rPr>
          <m:t>E</m:t>
        </m:r>
        <m:d>
          <m:dPr>
            <m:begChr m:val="["/>
            <m:endChr m:val="]"/>
            <m:sepChr m:val=""/>
            <m:grow/>
          </m:dPr>
          <m:e>
            <m:r>
              <m:rPr>
                <m:nor/>
                <m:sty m:val="p"/>
              </m:rPr>
              <m:t>log OR</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over all RCTs.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An observational source is generated from the same target population but with systematic design-related bias toward spurious benefit,</w:t>
      </w:r>
      <w:r>
        <w:rPr>
          <w:rFonts w:ascii="Times New Roman" w:hAnsi="Times New Roman" w:cs="Times New Roman" w:eastAsia="Times New Roman"/>
          <w:sz w:val="24"/>
          <w:szCs w:val="24"/>
        </w:rPr>
        <w:t xml:space="preserve"> </w:t>
      </w:r>
      <m:oMath>
        <m:r>
          <m:rPr>
            <m:nor/>
            <m:sty m:val="p"/>
          </m:rPr>
          <m:t>E</m:t>
        </m:r>
        <m:d>
          <m:dPr>
            <m:begChr m:val="["/>
            <m:endChr m:val="]"/>
            <m:sepChr m:val=""/>
            <m:grow/>
          </m:dPr>
          <m:e>
            <m:sSub>
              <m:e>
                <m:acc>
                  <m:accPr>
                    <m:chr m:val="̂"/>
                  </m:accPr>
                  <m:e>
                    <m:r>
                      <m:t>θ</m:t>
                    </m:r>
                  </m:e>
                </m:acc>
              </m:e>
              <m:sub>
                <m:r>
                  <m:rPr>
                    <m:nor/>
                    <m:sty m:val="p"/>
                  </m:rPr>
                  <m:t>obs</m:t>
                </m:r>
              </m:sub>
            </m:sSub>
          </m:e>
        </m:d>
        <m:r>
          <m:rPr>
            <m:sty m:val="p"/>
          </m:rPr>
          <m:t>=</m:t>
        </m:r>
        <m:sSub>
          <m:e>
            <m:r>
              <m:t>θ</m:t>
            </m:r>
          </m:e>
          <m:sub>
            <m:r>
              <m:rPr>
                <m:nor/>
                <m:sty m:val="p"/>
              </m:rPr>
              <m:t>true</m:t>
            </m:r>
          </m:sub>
        </m:sSub>
        <m:r>
          <m:rPr>
            <m:sty m:val="p"/>
          </m:rPr>
          <m:t>+</m:t>
        </m:r>
        <m:sSub>
          <m:e>
            <m:r>
              <m:t>β</m:t>
            </m:r>
          </m:e>
          <m:sub>
            <m:r>
              <m:rPr>
                <m:nor/>
                <m:sty m:val="p"/>
              </m:rPr>
              <m:t>obs</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inflated standard errors. The KOTHA combination uses a normal-approximation power-prior,</w:t>
      </w:r>
      <w:r>
        <w:rPr>
          <w:rFonts w:ascii="Times New Roman" w:hAnsi="Times New Roman" w:cs="Times New Roman" w:eastAsia="Times New Roman"/>
          <w:sz w:val="24"/>
          <w:szCs w:val="24"/>
        </w:rPr>
        <w:t xml:space="preserve"> </w:t>
      </w:r>
      <m:oMath>
        <m:r>
          <m:rPr>
            <m:nor/>
            <m:sty m:val="p"/>
          </m:rPr>
          <m:t>log-posterior</m:t>
        </m:r>
        <m:r>
          <m:rPr>
            <m:sty m:val="p"/>
          </m:rPr>
          <m:t>∝</m:t>
        </m:r>
        <m:r>
          <m:t>α</m:t>
        </m:r>
        <m:r>
          <m:rPr>
            <m:sty m:val="p"/>
          </m:rPr>
          <m:t>⋅</m:t>
        </m:r>
        <m:sSub>
          <m:e>
            <m:r>
              <m:rPr>
                <m:nor/>
                <m:sty m:val="p"/>
              </m:rPr>
              <m:t>log-likelihood</m:t>
            </m:r>
          </m:e>
          <m:sub>
            <m:r>
              <m:rPr>
                <m:nor/>
                <m:sty m:val="p"/>
              </m:rPr>
              <m:t>obs</m:t>
            </m:r>
          </m:sub>
        </m:sSub>
        <m:r>
          <m:rPr>
            <m:sty m:val="p"/>
          </m:rPr>
          <m:t>+</m:t>
        </m:r>
        <m:sSub>
          <m:e>
            <m:r>
              <m:rPr>
                <m:nor/>
                <m:sty m:val="p"/>
              </m:rPr>
              <m:t>log-likelihood</m:t>
            </m:r>
          </m:e>
          <m:sub>
            <m:r>
              <m:rPr>
                <m:nor/>
                <m:sty m:val="p"/>
              </m:rPr>
              <m:t>rct</m:t>
            </m:r>
          </m:sub>
        </m:sSub>
        <m:r>
          <m:rPr>
            <m:sty m:val="p"/>
          </m:rPr>
          <m:t>+</m:t>
        </m:r>
        <m:r>
          <m:rPr>
            <m:nor/>
            <m:sty m:val="p"/>
          </m:rPr>
          <m:t>log-prior</m:t>
        </m:r>
        <m:d>
          <m:dPr>
            <m:begChr m:val="("/>
            <m:endChr m:val=")"/>
            <m:sepChr m:val=""/>
            <m:grow/>
          </m:dPr>
          <m:e>
            <m:r>
              <m:t>θ</m:t>
            </m:r>
            <m:r>
              <m:rPr>
                <m:sty m:val="p"/>
              </m:rPr>
              <m:t>,</m:t>
            </m:r>
            <m:sSup>
              <m:e>
                <m:r>
                  <m:t>τ</m:t>
                </m:r>
              </m:e>
              <m:sup>
                <m:r>
                  <m:t>2</m:t>
                </m:r>
              </m:sup>
            </m:sSup>
          </m:e>
        </m:d>
      </m:oMath>
      <w:r>
        <w:rPr>
          <w:rFonts w:ascii="Times New Roman" w:hAnsi="Times New Roman" w:cs="Times New Roman" w:eastAsia="Times New Roman"/>
          <w:sz w:val="24"/>
          <w:szCs w:val="24"/>
        </w:rPr>
        <w:t xml:space="preserve">, and returns the posterior mean as the point estimate. Performance was evaluated by bias, RMSE, 95% credible-interval coverage, and statistical power (posterior probability that OR &lt; 1 exceeds 97.5%) relative to the target estimand. The simulation was run with 500 replications under pre-specified parameters; results are reported using the ADEMP checklist </w:t>
      </w:r>
      <w:r>
        <w:rPr>
          <w:rFonts w:ascii="Times New Roman" w:hAnsi="Times New Roman" w:cs="Times New Roman" w:eastAsia="Times New Roman"/>
          <w:sz w:val="24"/>
          <w:szCs w:val="24"/>
          <w:vertAlign w:val="superscript"/>
        </w:rPr>
        <w:t xml:space="preserve">[10]</w:t>
      </w:r>
      <w:r>
        <w:rPr>
          <w:rFonts w:ascii="Times New Roman" w:hAnsi="Times New Roman" w:cs="Times New Roman" w:eastAsia="Times New Roman"/>
          <w:sz w:val="24"/>
          <w:szCs w:val="24"/>
        </w:rPr>
        <w:t xml:space="preserve">.</w:t>
      </w:r>
    </w:p>
    <w:p>
      <w:pPr>
        <w:jc w:val="center"/>
      </w:pPr>
      <w:r>
        <w:drawing>
          <wp:inline xmlns:a="http://schemas.openxmlformats.org/drawingml/2006/main" xmlns:pic="http://schemas.openxmlformats.org/drawingml/2006/picture">
            <wp:extent cx="5029200" cy="3537145"/>
            <wp:docPr id="1" name="Picture 1"/>
            <wp:cNvGraphicFramePr>
              <a:graphicFrameLocks noChangeAspect="1"/>
            </wp:cNvGraphicFramePr>
            <a:graphic>
              <a:graphicData uri="http://schemas.openxmlformats.org/drawingml/2006/picture">
                <pic:pic>
                  <pic:nvPicPr>
                    <pic:cNvPr id="0" name="fig1_framework_overview.png"/>
                    <pic:cNvPicPr/>
                  </pic:nvPicPr>
                  <pic:blipFill>
                    <a:blip r:embed="rId10"/>
                    <a:stretch>
                      <a:fillRect/>
                    </a:stretch>
                  </pic:blipFill>
                  <pic:spPr>
                    <a:xfrm>
                      <a:off x="0" y="0"/>
                      <a:ext cx="5029200" cy="3537145"/>
                    </a:xfrm>
                    <a:prstGeom prst="rect"/>
                  </pic:spPr>
                </pic:pic>
              </a:graphicData>
            </a:graphic>
          </wp:inline>
        </w:drawing>
      </w:r>
    </w:p>
    <w:p>
      <w:pPr>
        <w:jc w:val="left"/>
      </w:pPr>
      <w:r>
        <w:rPr>
          <w:rFonts w:ascii="Times New Roman" w:hAnsi="Times New Roman"/>
          <w:b/>
          <w:sz w:val="20"/>
        </w:rPr>
        <w:t xml:space="preserve">Figure 1. </w:t>
      </w:r>
      <w:r>
        <w:rPr>
          <w:rFonts w:ascii="Times New Roman" w:hAnsi="Times New Roman"/>
          <w:sz w:val="20"/>
        </w:rPr>
        <w:t>Overview of the KOTHA Framework. Module K (Counterfactual Power Simulation) quantifies risk-profile shift and estimates power under counterfactual enrollment scenarios. Module T (Bayesian Evidence Integration) combines RCT and observational evidence using power-prior discounting. Module H (Guideline Interpreter) synthesizes outputs into a structured GRADE-compatible assessment.</w:t>
      </w:r>
    </w:p>
    <w:p>
      <w:r>
        <w:rPr>
          <w:rFonts w:ascii="Times New Roman" w:hAnsi="Times New Roman"/>
          <w:b/>
          <w:i w:val="0"/>
          <w:sz w:val="24"/>
        </w:rPr>
        <w:t>Table 2: Module H assessment checklist mapped to GRADE domains</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1980"/>
        <w:gridCol w:w="1980"/>
        <w:gridCol w:w="1980"/>
        <w:gridCol w:w="1980"/>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Module H assessment</w:t>
            </w:r>
          </w:p>
        </w:tc>
        <w:tc>
          <w:tcPr/>
          <w:p>
            <w:pPr>
              <w:pStyle w:val="Normal"/>
              <w:jc w:val="left"/>
              <w:spacing w:line="240" w:lineRule="auto" w:after="0"/>
            </w:pPr>
            <w:r>
              <w:rPr>
                <w:rFonts w:ascii="Times New Roman" w:hAnsi="Times New Roman" w:cs="Times New Roman" w:eastAsia="Times New Roman"/>
                <w:sz w:val="20"/>
                <w:szCs w:val="20"/>
                <w:b/>
              </w:rPr>
              <w:t xml:space="preserve">GRADE domain</w:t>
            </w:r>
          </w:p>
        </w:tc>
        <w:tc>
          <w:tcPr/>
          <w:p>
            <w:pPr>
              <w:pStyle w:val="Normal"/>
              <w:jc w:val="left"/>
              <w:spacing w:line="240" w:lineRule="auto" w:after="0"/>
            </w:pPr>
            <w:r>
              <w:rPr>
                <w:rFonts w:ascii="Times New Roman" w:hAnsi="Times New Roman" w:cs="Times New Roman" w:eastAsia="Times New Roman"/>
                <w:sz w:val="20"/>
                <w:szCs w:val="20"/>
                <w:b/>
              </w:rPr>
              <w:t xml:space="preserve">Analytical tool</w:t>
            </w:r>
          </w:p>
        </w:tc>
        <w:tc>
          <w:tcPr/>
          <w:p>
            <w:pPr>
              <w:pStyle w:val="Normal"/>
              <w:jc w:val="left"/>
              <w:spacing w:line="240" w:lineRule="auto" w:after="0"/>
            </w:pPr>
            <w:r>
              <w:rPr>
                <w:rFonts w:ascii="Times New Roman" w:hAnsi="Times New Roman" w:cs="Times New Roman" w:eastAsia="Times New Roman"/>
                <w:sz w:val="20"/>
                <w:szCs w:val="20"/>
                <w:b/>
              </w:rPr>
              <w:t xml:space="preserve">Decision criterion</w:t>
            </w:r>
          </w:p>
        </w:tc>
      </w:tr>
      <w:tr>
        <w:tc>
          <w:tcPr/>
          <w:p>
            <w:pPr>
              <w:pStyle w:val="Normal"/>
              <w:jc w:val="left"/>
              <w:spacing w:line="240" w:lineRule="auto" w:after="0"/>
            </w:pPr>
            <w:r>
              <w:rPr>
                <w:rFonts w:ascii="Times New Roman" w:hAnsi="Times New Roman" w:cs="Times New Roman" w:eastAsia="Times New Roman"/>
                <w:sz w:val="20"/>
                <w:szCs w:val="20"/>
              </w:rPr>
              <w:t xml:space="preserve">Information sufficiency</w:t>
            </w:r>
          </w:p>
        </w:tc>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OIS calculation</w:t>
            </w:r>
          </w:p>
        </w:tc>
        <w:tc>
          <w:tcPr/>
          <w:p>
            <w:pPr>
              <w:pStyle w:val="Normal"/>
              <w:jc w:val="left"/>
              <w:spacing w:line="240" w:lineRule="auto" w:after="0"/>
            </w:pPr>
            <w:r>
              <w:rPr>
                <w:rFonts w:ascii="Times New Roman" w:hAnsi="Times New Roman" w:cs="Times New Roman" w:eastAsia="Times New Roman"/>
                <w:sz w:val="20"/>
                <w:szCs w:val="20"/>
              </w:rPr>
              <w:t xml:space="preserve">Total events &lt; OIS: informationally insufficient</w:t>
            </w:r>
          </w:p>
        </w:tc>
      </w:tr>
      <w:tr>
        <w:tc>
          <w:tcPr/>
          <w:p>
            <w:pPr>
              <w:pStyle w:val="Normal"/>
              <w:jc w:val="left"/>
              <w:spacing w:line="240" w:lineRule="auto" w:after="0"/>
            </w:pPr>
            <w:r>
              <w:rPr>
                <w:rFonts w:ascii="Times New Roman" w:hAnsi="Times New Roman" w:cs="Times New Roman" w:eastAsia="Times New Roman"/>
                <w:sz w:val="20"/>
                <w:szCs w:val="20"/>
              </w:rPr>
              <w:t xml:space="preserve">CI assessment</w:t>
            </w:r>
          </w:p>
        </w:tc>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CI inspection</w:t>
            </w:r>
          </w:p>
        </w:tc>
        <w:tc>
          <w:tcPr/>
          <w:p>
            <w:pPr>
              <w:pStyle w:val="Normal"/>
              <w:jc w:val="left"/>
              <w:spacing w:line="240" w:lineRule="auto" w:after="0"/>
            </w:pPr>
            <w:r>
              <w:rPr>
                <w:rFonts w:ascii="Times New Roman" w:hAnsi="Times New Roman" w:cs="Times New Roman" w:eastAsia="Times New Roman"/>
                <w:sz w:val="20"/>
                <w:szCs w:val="20"/>
              </w:rPr>
              <w:t xml:space="preserve">CI spans benefit through null: inconclusive</w:t>
            </w:r>
          </w:p>
        </w:tc>
      </w:tr>
      <w:tr>
        <w:tc>
          <w:tcPr/>
          <w:p>
            <w:pPr>
              <w:pStyle w:val="Normal"/>
              <w:jc w:val="left"/>
              <w:spacing w:line="240" w:lineRule="auto" w:after="0"/>
            </w:pPr>
            <w:r>
              <w:rPr>
                <w:rFonts w:ascii="Times New Roman" w:hAnsi="Times New Roman" w:cs="Times New Roman" w:eastAsia="Times New Roman"/>
                <w:sz w:val="20"/>
                <w:szCs w:val="20"/>
              </w:rPr>
              <w:t xml:space="preserve">Representativeness</w:t>
            </w:r>
          </w:p>
        </w:tc>
        <w:tc>
          <w:tcPr/>
          <w:p>
            <w:pPr>
              <w:pStyle w:val="Normal"/>
              <w:jc w:val="left"/>
              <w:spacing w:line="240" w:lineRule="auto" w:after="0"/>
            </w:pPr>
            <w:r>
              <w:rPr>
                <w:rFonts w:ascii="Times New Roman" w:hAnsi="Times New Roman" w:cs="Times New Roman" w:eastAsia="Times New Roman"/>
                <w:sz w:val="20"/>
                <w:szCs w:val="20"/>
              </w:rPr>
              <w:t xml:space="preserve">Indirectness</w:t>
            </w:r>
          </w:p>
        </w:tc>
        <w:tc>
          <w:tcPr/>
          <w:p>
            <w:pPr>
              <w:pStyle w:val="Normal"/>
              <w:jc w:val="left"/>
              <w:spacing w:line="240" w:lineRule="auto" w:after="0"/>
            </w:pPr>
            <w:r>
              <w:rPr>
                <w:rFonts w:ascii="Times New Roman" w:hAnsi="Times New Roman" w:cs="Times New Roman" w:eastAsia="Times New Roman"/>
                <w:sz w:val="20"/>
                <w:szCs w:val="20"/>
              </w:rPr>
              <w:t xml:space="preserve">Module K event rate ratio</w:t>
            </w:r>
          </w:p>
        </w:tc>
        <w:tc>
          <w:tcPr/>
          <w:p>
            <w:pPr>
              <w:pStyle w:val="Normal"/>
              <w:jc w:val="left"/>
              <w:spacing w:line="240" w:lineRule="auto" w:after="0"/>
            </w:pPr>
            <w:r>
              <w:rPr>
                <w:rFonts w:ascii="Times New Roman" w:hAnsi="Times New Roman" w:cs="Times New Roman" w:eastAsia="Times New Roman"/>
                <w:sz w:val="20"/>
                <w:szCs w:val="20"/>
              </w:rPr>
              <w:t xml:space="preserve">&lt; 0.67 or &gt; 1.50: serious; &lt; 0.80 or &gt; 1.25: moderate</w:t>
            </w:r>
          </w:p>
        </w:tc>
      </w:tr>
      <w:tr>
        <w:tc>
          <w:tcPr/>
          <w:p>
            <w:pPr>
              <w:pStyle w:val="Normal"/>
              <w:jc w:val="left"/>
              <w:spacing w:line="240" w:lineRule="auto" w:after="0"/>
            </w:pPr>
            <w:r>
              <w:rPr>
                <w:rFonts w:ascii="Times New Roman" w:hAnsi="Times New Roman" w:cs="Times New Roman" w:eastAsia="Times New Roman"/>
                <w:sz w:val="20"/>
                <w:szCs w:val="20"/>
              </w:rPr>
              <w:t xml:space="preserve">TSA</w:t>
            </w:r>
          </w:p>
        </w:tc>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Sequential monitoring boundaries</w:t>
            </w:r>
          </w:p>
        </w:tc>
        <w:tc>
          <w:tcPr/>
          <w:p>
            <w:pPr>
              <w:pStyle w:val="Normal"/>
              <w:jc w:val="left"/>
              <w:spacing w:line="240" w:lineRule="auto" w:after="0"/>
            </w:pPr>
            <w:r>
              <w:rPr>
                <w:rFonts w:ascii="Times New Roman" w:hAnsi="Times New Roman" w:cs="Times New Roman" w:eastAsia="Times New Roman"/>
                <w:sz w:val="20"/>
                <w:szCs w:val="20"/>
              </w:rPr>
              <w:t xml:space="preserve">Boundaries not crossed: interim analysis equivalent</w:t>
            </w:r>
          </w:p>
        </w:tc>
      </w:tr>
      <w:tr>
        <w:tc>
          <w:tcPr/>
          <w:p>
            <w:pPr>
              <w:pStyle w:val="Normal"/>
              <w:jc w:val="left"/>
              <w:spacing w:line="240" w:lineRule="auto" w:after="0"/>
            </w:pPr>
            <w:r>
              <w:rPr>
                <w:rFonts w:ascii="Times New Roman" w:hAnsi="Times New Roman" w:cs="Times New Roman" w:eastAsia="Times New Roman"/>
                <w:sz w:val="20"/>
                <w:szCs w:val="20"/>
              </w:rPr>
              <w:t xml:space="preserve">Recommendation language</w:t>
            </w:r>
          </w:p>
        </w:tc>
        <w:tc>
          <w:tcPr/>
          <w:p>
            <w:pPr>
              <w:pStyle w:val="Normal"/>
              <w:jc w:val="left"/>
              <w:spacing w:line="240" w:lineRule="auto" w:after="0"/>
            </w:pPr>
            <w:r>
              <w:rPr>
                <w:rFonts w:ascii="Times New Roman" w:hAnsi="Times New Roman" w:cs="Times New Roman" w:eastAsia="Times New Roman"/>
                <w:sz w:val="20"/>
                <w:szCs w:val="20"/>
              </w:rPr>
              <w:t xml:space="preserve">Overall assessment</w:t>
            </w:r>
          </w:p>
        </w:tc>
        <w:tc>
          <w:tcPr/>
          <w:p>
            <w:pPr>
              <w:pStyle w:val="Normal"/>
              <w:jc w:val="left"/>
              <w:spacing w:line="240" w:lineRule="auto" w:after="0"/>
            </w:pPr>
            <w:r>
              <w:rPr>
                <w:rFonts w:ascii="Times New Roman" w:hAnsi="Times New Roman" w:cs="Times New Roman" w:eastAsia="Times New Roman"/>
                <w:sz w:val="20"/>
                <w:szCs w:val="20"/>
              </w:rPr>
              <w:t xml:space="preserve">Standardized templates</w:t>
            </w:r>
          </w:p>
        </w:tc>
        <w:tc>
          <w:tcPr/>
          <w:p>
            <w:pPr>
              <w:pStyle w:val="Normal"/>
              <w:jc w:val="left"/>
              <w:spacing w:line="240" w:lineRule="auto" w:after="0"/>
            </w:pPr>
            <w:r>
              <w:rPr>
                <w:rFonts w:ascii="Times New Roman" w:hAnsi="Times New Roman" w:cs="Times New Roman" w:eastAsia="Times New Roman"/>
                <w:sz w:val="20"/>
                <w:szCs w:val="20"/>
              </w:rPr>
              <w:t xml:space="preserve">Tailored to information sufficiency classification</w:t>
            </w:r>
          </w:p>
        </w:tc>
      </w:tr>
    </w:tbl>
    <w:p>
      <w:pPr>
        <w:pStyle w:val="Heading3"/>
      </w:pPr>
      <w:r>
        <w:rPr>
          <w:rFonts w:ascii="Times New Roman" w:hAnsi="Times New Roman"/>
          <w:b/>
          <w:color w:val="000000"/>
          <w:sz w:val="24"/>
        </w:rPr>
        <w:t>Data sources and statistical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magnesium in AMI we used study-level event counts extracted from published overviews </w:t>
      </w:r>
      <w:r>
        <w:rPr>
          <w:rFonts w:ascii="Times New Roman" w:hAnsi="Times New Roman" w:cs="Times New Roman" w:eastAsia="Times New Roman"/>
          <w:sz w:val="24"/>
          <w:szCs w:val="24"/>
          <w:vertAlign w:val="superscript"/>
        </w:rPr>
        <w:t xml:space="preserve">[17-18]</w:t>
      </w:r>
      <w:r>
        <w:rPr>
          <w:rFonts w:ascii="Times New Roman" w:hAnsi="Times New Roman" w:cs="Times New Roman" w:eastAsia="Times New Roman"/>
          <w:sz w:val="24"/>
          <w:szCs w:val="24"/>
        </w:rPr>
        <w:t xml:space="preserve">. For statins in heart failure we used aggregate data from five observational cohorts </w:t>
      </w:r>
      <w:r>
        <w:rPr>
          <w:rFonts w:ascii="Times New Roman" w:hAnsi="Times New Roman" w:cs="Times New Roman" w:eastAsia="Times New Roman"/>
          <w:sz w:val="24"/>
          <w:szCs w:val="24"/>
          <w:vertAlign w:val="superscript"/>
        </w:rPr>
        <w:t xml:space="preserve">[19-23]</w:t>
      </w:r>
      <w:r>
        <w:rPr>
          <w:rFonts w:ascii="Times New Roman" w:hAnsi="Times New Roman" w:cs="Times New Roman" w:eastAsia="Times New Roman"/>
          <w:sz w:val="24"/>
          <w:szCs w:val="24"/>
        </w:rPr>
        <w:t xml:space="preserve"> and two RCTs </w:t>
      </w:r>
      <w:r>
        <w:rPr>
          <w:rFonts w:ascii="Times New Roman" w:hAnsi="Times New Roman" w:cs="Times New Roman" w:eastAsia="Times New Roman"/>
          <w:sz w:val="24"/>
          <w:szCs w:val="24"/>
          <w:vertAlign w:val="superscript"/>
        </w:rPr>
        <w:t xml:space="preserve">[24-25]</w:t>
      </w:r>
      <w:r>
        <w:rPr>
          <w:rFonts w:ascii="Times New Roman" w:hAnsi="Times New Roman" w:cs="Times New Roman" w:eastAsia="Times New Roman"/>
          <w:sz w:val="24"/>
          <w:szCs w:val="24"/>
        </w:rPr>
        <w:t xml:space="preserve">. We used DerSimonian-Laird random-effects meta-analysis </w:t>
      </w:r>
      <w:r>
        <w:rPr>
          <w:rFonts w:ascii="Times New Roman" w:hAnsi="Times New Roman" w:cs="Times New Roman" w:eastAsia="Times New Roman"/>
          <w:sz w:val="24"/>
          <w:szCs w:val="24"/>
          <w:vertAlign w:val="superscript"/>
        </w:rPr>
        <w:t xml:space="preserve">[26]</w:t>
      </w:r>
      <w:r>
        <w:rPr>
          <w:rFonts w:ascii="Times New Roman" w:hAnsi="Times New Roman" w:cs="Times New Roman" w:eastAsia="Times New Roman"/>
          <w:sz w:val="24"/>
          <w:szCs w:val="24"/>
        </w:rPr>
        <w:t xml:space="preserve"> and computed 95% confidence intervals. OIS and TSA were calculated using standard formulas </w:t>
      </w:r>
      <w:r>
        <w:rPr>
          <w:rFonts w:ascii="Times New Roman" w:hAnsi="Times New Roman" w:cs="Times New Roman" w:eastAsia="Times New Roman"/>
          <w:sz w:val="24"/>
          <w:szCs w:val="24"/>
          <w:vertAlign w:val="superscript"/>
        </w:rPr>
        <w:t xml:space="preserve">[6-9]</w:t>
      </w:r>
      <w:r>
        <w:rPr>
          <w:rFonts w:ascii="Times New Roman" w:hAnsi="Times New Roman" w:cs="Times New Roman" w:eastAsia="Times New Roman"/>
          <w:sz w:val="24"/>
          <w:szCs w:val="24"/>
        </w:rPr>
        <w:t xml:space="preserve">. All analyses were performed with the Python code in the public repository.</w:t>
      </w:r>
    </w:p>
    <w:p>
      <w:pPr>
        <w:pStyle w:val="Heading2"/>
      </w:pPr>
      <w:r>
        <w:rPr>
          <w:rFonts w:ascii="Times New Roman" w:hAnsi="Times New Roman"/>
          <w:b/>
          <w:color w:val="000000"/>
          <w:sz w:val="24"/>
        </w:rPr>
        <w:t>3. Results</w:t>
      </w:r>
    </w:p>
    <w:p>
      <w:pPr>
        <w:pStyle w:val="Heading3"/>
      </w:pPr>
      <w:r>
        <w:rPr>
          <w:rFonts w:ascii="Times New Roman" w:hAnsi="Times New Roman"/>
          <w:b/>
          <w:color w:val="000000"/>
          <w:sz w:val="24"/>
        </w:rPr>
        <w:t>Study-level data and risk-profile shift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Study-level data are provided in Supplementary Table S1 (magnesium in AMI) and Supplementary Table S2 (statins in HF). In the magnesium case, control-group mortality fell from a pre-thrombolysis weighted mean of 8.9% to 7.2% in ISIS-4, an event rate ratio of 0.82 (Fig. 2). In the statins case, the RCT-to-observational event rate ratio was 0.51, indicating that the RCT populations had roughly half the mortality event rate of the observational cohorts.</w:t>
      </w:r>
    </w:p>
    <w:p>
      <w:pPr>
        <w:jc w:val="center"/>
      </w:pPr>
      <w:r>
        <w:drawing>
          <wp:inline xmlns:a="http://schemas.openxmlformats.org/drawingml/2006/main" xmlns:pic="http://schemas.openxmlformats.org/drawingml/2006/picture">
            <wp:extent cx="5029200" cy="2061675"/>
            <wp:docPr id="2" name="Picture 2"/>
            <wp:cNvGraphicFramePr>
              <a:graphicFrameLocks noChangeAspect="1"/>
            </wp:cNvGraphicFramePr>
            <a:graphic>
              <a:graphicData uri="http://schemas.openxmlformats.org/drawingml/2006/picture">
                <pic:pic>
                  <pic:nvPicPr>
                    <pic:cNvPr id="0" name="fig2_risk_profile_shift.png"/>
                    <pic:cNvPicPr/>
                  </pic:nvPicPr>
                  <pic:blipFill>
                    <a:blip r:embed="rId11"/>
                    <a:stretch>
                      <a:fillRect/>
                    </a:stretch>
                  </pic:blipFill>
                  <pic:spPr>
                    <a:xfrm>
                      <a:off x="0" y="0"/>
                      <a:ext cx="5029200" cy="2061675"/>
                    </a:xfrm>
                    <a:prstGeom prst="rect"/>
                  </pic:spPr>
                </pic:pic>
              </a:graphicData>
            </a:graphic>
          </wp:inline>
        </w:drawing>
      </w:r>
    </w:p>
    <w:p>
      <w:pPr>
        <w:jc w:val="left"/>
      </w:pPr>
      <w:r>
        <w:rPr>
          <w:rFonts w:ascii="Times New Roman" w:hAnsi="Times New Roman"/>
          <w:b/>
          <w:sz w:val="20"/>
        </w:rPr>
        <w:t xml:space="preserve">Figure 2. </w:t>
      </w:r>
      <w:r>
        <w:rPr>
          <w:rFonts w:ascii="Times New Roman" w:hAnsi="Times New Roman"/>
          <w:sz w:val="20"/>
        </w:rPr>
        <w:t>Risk-profile shift in the magnesium-in-AMI case. (A) Control-group mortality rates over time, with bubble size proportional to study sample size and colors indicating era. (B) Weighted mean control mortality by era.</w:t>
      </w:r>
    </w:p>
    <w:p>
      <w:pPr>
        <w:pStyle w:val="Heading3"/>
      </w:pPr>
      <w:r>
        <w:rPr>
          <w:rFonts w:ascii="Times New Roman" w:hAnsi="Times New Roman"/>
          <w:b/>
          <w:color w:val="000000"/>
          <w:sz w:val="24"/>
        </w:rPr>
        <w:t>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At the ISIS-4 sample size (N = 58,050) and the pre-ISIS-4 pooled effect (OR = 0.54), power exceeded 99% under all three event-rate scenarios. For a more modest effect (OR = 0.90), however, power was 95.8% under the pre-thrombolysis rate and 91.5% under the ISIS-4 rate (Fig. 3A). For statins, power to detect the observational effect (HR = 0.72) was 100.0% under the observational event rate and 100.0% under the RCT event rate; for a more modest effect (HR = 0.85), power fell from 98.4% to 83.2%---a 15 percentage-point reduction consistent with event dilution (Fig. 3B).</w:t>
      </w:r>
    </w:p>
    <w:p>
      <w:pPr>
        <w:jc w:val="center"/>
      </w:pPr>
      <w:r>
        <w:drawing>
          <wp:inline xmlns:a="http://schemas.openxmlformats.org/drawingml/2006/main" xmlns:pic="http://schemas.openxmlformats.org/drawingml/2006/picture">
            <wp:extent cx="5029200" cy="2096542"/>
            <wp:docPr id="3" name="Picture 3"/>
            <wp:cNvGraphicFramePr>
              <a:graphicFrameLocks noChangeAspect="1"/>
            </wp:cNvGraphicFramePr>
            <a:graphic>
              <a:graphicData uri="http://schemas.openxmlformats.org/drawingml/2006/picture">
                <pic:pic>
                  <pic:nvPicPr>
                    <pic:cNvPr id="0" name="fig3_power_curves.png"/>
                    <pic:cNvPicPr/>
                  </pic:nvPicPr>
                  <pic:blipFill>
                    <a:blip r:embed="rId12"/>
                    <a:stretch>
                      <a:fillRect/>
                    </a:stretch>
                  </pic:blipFill>
                  <pic:spPr>
                    <a:xfrm>
                      <a:off x="0" y="0"/>
                      <a:ext cx="5029200" cy="2096542"/>
                    </a:xfrm>
                    <a:prstGeom prst="rect"/>
                  </pic:spPr>
                </pic:pic>
              </a:graphicData>
            </a:graphic>
          </wp:inline>
        </w:drawing>
      </w:r>
    </w:p>
    <w:p>
      <w:pPr>
        <w:jc w:val="left"/>
      </w:pPr>
      <w:r>
        <w:rPr>
          <w:rFonts w:ascii="Times New Roman" w:hAnsi="Times New Roman"/>
          <w:b/>
          <w:sz w:val="20"/>
        </w:rPr>
        <w:t xml:space="preserve">Figure 3. </w:t>
      </w:r>
      <w:r>
        <w:rPr>
          <w:rFonts w:ascii="Times New Roman" w:hAnsi="Times New Roman"/>
          <w:sz w:val="20"/>
        </w:rPr>
        <w:t>Estimated power by enrollment scenario and true effect size. (A) Magnesium in AMI at the ISIS-4 sample size (N = 58,050). (B) Statins in HF at the combined RCT sample size (N = 9,585). S1 = real-world/observational event rate; S2 = RCT event rate; S3 = intermediate/enriched rate. Horizontal dashed lines indicate 80% power.</w:t>
      </w:r>
    </w:p>
    <w:p>
      <w:pPr>
        <w:pStyle w:val="Heading3"/>
      </w:pPr>
      <w:r>
        <w:rPr>
          <w:rFonts w:ascii="Times New Roman" w:hAnsi="Times New Roman"/>
          <w:b/>
          <w:color w:val="000000"/>
          <w:sz w:val="24"/>
        </w:rPr>
        <w:t>Frequentist meta-analysis and trial sequential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Fig. 4 shows forest plots for magnesium and statins. Random-effects meta-analysis of the 11 pre-ISIS-4 magnesium trials yielded OR = 0.54 (95% CI: 0.40-0.75)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 Adding ISIS-4 changed the pooled estimate to OR = 0.56 (0.38-0.83), but heterogeneity increased to</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(Fig. 4A). Under fixed-effect accumulation the final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0.80, which did not cross the conventional two-sided boundary for benefit or harm (</w:t>
      </w:r>
      <m:oMath>
        <m:d>
          <m:dPr>
            <m:begChr m:val="|"/>
            <m:endChr m:val="|"/>
            <m:sepChr m:val=""/>
            <m:grow/>
          </m:dPr>
          <m:e>
            <m:r>
              <m:t>Z</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1.96); under random-effects accumulation the final</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-2.90, crossing the lower O'Brien-Fleming boundary of -1.96. Because cumulative information exceeded the optimal information size, this boundary equals the conventional two-sided boundary (Fig. 5). This divergence is consistent with era-dependent treatment-effect heterogeneity, with the ISIS-4 result contributing substantially to that heterogeneity.</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statins, observational studies showed a pooled HR of 0.72 (95% CI: 0.64-0.80)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82%, whereas the two RCTs (CORONA and GISSI-HF) yielded HR = 0.97 (0.90-1.05)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(Fig. 4B).</w:t>
      </w:r>
    </w:p>
    <w:p>
      <w:pPr>
        <w:jc w:val="center"/>
      </w:pPr>
      <w:r>
        <w:drawing>
          <wp:inline xmlns:a="http://schemas.openxmlformats.org/drawingml/2006/main" xmlns:pic="http://schemas.openxmlformats.org/drawingml/2006/picture">
            <wp:extent cx="5029200" cy="2598661"/>
            <wp:docPr id="4" name="Picture 4"/>
            <wp:cNvGraphicFramePr>
              <a:graphicFrameLocks noChangeAspect="1"/>
            </wp:cNvGraphicFramePr>
            <a:graphic>
              <a:graphicData uri="http://schemas.openxmlformats.org/drawingml/2006/picture">
                <pic:pic>
                  <pic:nvPicPr>
                    <pic:cNvPr id="0" name="fig4_forest_combined.png"/>
                    <pic:cNvPicPr/>
                  </pic:nvPicPr>
                  <pic:blipFill>
                    <a:blip r:embed="rId13"/>
                    <a:stretch>
                      <a:fillRect/>
                    </a:stretch>
                  </pic:blipFill>
                  <pic:spPr>
                    <a:xfrm>
                      <a:off x="0" y="0"/>
                      <a:ext cx="5029200" cy="2598661"/>
                    </a:xfrm>
                    <a:prstGeom prst="rect"/>
                  </pic:spPr>
                </pic:pic>
              </a:graphicData>
            </a:graphic>
          </wp:inline>
        </w:drawing>
      </w:r>
    </w:p>
    <w:p>
      <w:pPr>
        <w:jc w:val="left"/>
      </w:pPr>
      <w:r>
        <w:rPr>
          <w:rFonts w:ascii="Times New Roman" w:hAnsi="Times New Roman"/>
          <w:b/>
          <w:sz w:val="20"/>
        </w:rPr>
        <w:t xml:space="preserve">Figure 4. </w:t>
      </w:r>
      <w:r>
        <w:rPr>
          <w:rFonts w:ascii="Times New Roman" w:hAnsi="Times New Roman"/>
          <w:sz w:val="20"/>
        </w:rPr>
        <w:t>Forest plots for (A) magnesium in AMI and (B) statins in heart failure. Individual study effect estimates are shown with 95% confidence intervals. Pooled estimates include frequentist random-effects and Bayesian integrated estimates at selected discounting levels (alpha = 0.3, 0.5, 1.0 for magnesium; 0.1, 0.3, 0.5 for statins).</w:t>
      </w:r>
    </w:p>
    <w:p>
      <w:pPr>
        <w:jc w:val="center"/>
      </w:pPr>
      <w:r>
        <w:drawing>
          <wp:inline xmlns:a="http://schemas.openxmlformats.org/drawingml/2006/main" xmlns:pic="http://schemas.openxmlformats.org/drawingml/2006/picture">
            <wp:extent cx="5029200" cy="3005429"/>
            <wp:docPr id="5" name="Picture 5"/>
            <wp:cNvGraphicFramePr>
              <a:graphicFrameLocks noChangeAspect="1"/>
            </wp:cNvGraphicFramePr>
            <a:graphic>
              <a:graphicData uri="http://schemas.openxmlformats.org/drawingml/2006/picture">
                <pic:pic>
                  <pic:nvPicPr>
                    <pic:cNvPr id="0" name="fig5_tsa_magnesium.png"/>
                    <pic:cNvPicPr/>
                  </pic:nvPicPr>
                  <pic:blipFill>
                    <a:blip r:embed="rId14"/>
                    <a:stretch>
                      <a:fillRect/>
                    </a:stretch>
                  </pic:blipFill>
                  <pic:spPr>
                    <a:xfrm>
                      <a:off x="0" y="0"/>
                      <a:ext cx="5029200" cy="3005429"/>
                    </a:xfrm>
                    <a:prstGeom prst="rect"/>
                  </pic:spPr>
                </pic:pic>
              </a:graphicData>
            </a:graphic>
          </wp:inline>
        </w:drawing>
      </w:r>
    </w:p>
    <w:p>
      <w:pPr>
        <w:jc w:val="left"/>
      </w:pPr>
      <w:r>
        <w:rPr>
          <w:rFonts w:ascii="Times New Roman" w:hAnsi="Times New Roman"/>
          <w:b/>
          <w:sz w:val="20"/>
        </w:rPr>
        <w:t xml:space="preserve">Figure 5. </w:t>
      </w:r>
      <w:r>
        <w:rPr>
          <w:rFonts w:ascii="Times New Roman" w:hAnsi="Times New Roman"/>
          <w:sz w:val="20"/>
        </w:rPr>
        <w:t>Trial sequential analysis for magnesium in AMI. The cumulative Z-curve is plotted against cumulative events. Vertical dashed line indicates the optimal information size (OIS). Curved lines show O'Brien-Fleming monitoring boundaries.</w:t>
      </w:r>
    </w:p>
    <w:p>
      <w:pPr>
        <w:pStyle w:val="Heading3"/>
      </w:pPr>
      <w:r>
        <w:rPr>
          <w:rFonts w:ascii="Times New Roman" w:hAnsi="Times New Roman"/>
          <w:b/>
          <w:color w:val="000000"/>
          <w:sz w:val="24"/>
        </w:rPr>
        <w:t>Bayesian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Bayesian integration (Table 3) showed that for magnesium,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(ISIS-4 only), the posterior median OR was 1.05 with 42.8% probability of benefit.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 posterior shifted to OR = 0.74 (95% CrI: 0.25-1.43), with 80.7% probability of benefit (Fig. 6A). For statins,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(RCTs only) the posterior probability of benefit was 62.9% and the probability of a clinically meaningful benefit (HR &lt; 0.90) was 21.2%.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these probabilities rose to 86.5% and 66.0%, respectively (Fig. 6B). Even with moderate borrowing from observational evidence, conclusions remained uncertain.</w:t>
      </w:r>
    </w:p>
    <w:p>
      <w:r>
        <w:rPr>
          <w:rFonts w:ascii="Times New Roman" w:hAnsi="Times New Roman"/>
          <w:b/>
          <w:i w:val="0"/>
          <w:sz w:val="24"/>
        </w:rPr>
        <w:t>Table 3: Bayesian integration results by case and discounting factor (power prior)</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1320"/>
        <w:gridCol w:w="1320"/>
        <w:gridCol w:w="1320"/>
        <w:gridCol w:w="1320"/>
        <w:gridCol w:w="1320"/>
        <w:gridCol w:w="1320"/>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Case</w:t>
            </w:r>
          </w:p>
        </w:tc>
        <w:tc>
          <w:tcPr/>
          <w:p>
            <w:pPr>
              <w:pStyle w:val="Normal"/>
              <w:jc w:val="left"/>
              <w:spacing w:line="240" w:lineRule="auto" w:after="0"/>
            </w:pPr>
            <m:oMath>
              <m:r>
                <m:t>α</m:t>
              </m:r>
            </m:oMath>
          </w:p>
        </w:tc>
        <w:tc>
          <w:tcPr/>
          <w:p>
            <w:pPr>
              <w:pStyle w:val="Normal"/>
              <w:jc w:val="left"/>
              <w:spacing w:line="240" w:lineRule="auto" w:after="0"/>
            </w:pPr>
            <w:r>
              <w:rPr>
                <w:rFonts w:ascii="Times New Roman" w:hAnsi="Times New Roman" w:cs="Times New Roman" w:eastAsia="Times New Roman"/>
                <w:sz w:val="20"/>
                <w:szCs w:val="20"/>
                <w:b/>
              </w:rPr>
              <w:t xml:space="preserve">OR/HR (95% CrI)</w:t>
            </w:r>
          </w:p>
        </w:tc>
        <w:tc>
          <w:tcPr/>
          <w:p>
            <w:pPr>
              <w:pStyle w:val="Normal"/>
              <w:jc w:val="left"/>
              <w:spacing w:line="240" w:lineRule="auto" w:after="0"/>
            </w:pPr>
            <w:r>
              <w:rPr>
                <w:rFonts w:ascii="Times New Roman" w:hAnsi="Times New Roman" w:cs="Times New Roman" w:eastAsia="Times New Roman"/>
                <w:sz w:val="20"/>
                <w:szCs w:val="20"/>
                <w:b/>
              </w:rPr>
              <w:t xml:space="preserve">P(effect &lt; 1)</w:t>
            </w:r>
          </w:p>
        </w:tc>
        <w:tc>
          <w:tcPr/>
          <w:p>
            <w:pPr>
              <w:pStyle w:val="Normal"/>
              <w:jc w:val="left"/>
              <w:spacing w:line="240" w:lineRule="auto" w:after="0"/>
            </w:pPr>
            <w:r>
              <w:rPr>
                <w:rFonts w:ascii="Times New Roman" w:hAnsi="Times New Roman" w:cs="Times New Roman" w:eastAsia="Times New Roman"/>
                <w:sz w:val="20"/>
                <w:szCs w:val="20"/>
                <w:b/>
              </w:rPr>
              <w:t xml:space="preserve">P(effect &lt; 0.90)</w:t>
            </w:r>
          </w:p>
        </w:tc>
        <w:tc>
          <w:tcPr/>
          <w:p>
            <w:pPr>
              <w:pStyle w:val="Normal"/>
              <w:jc w:val="left"/>
              <w:spacing w:line="240" w:lineRule="auto" w:after="0"/>
            </w:pPr>
            <w:r>
              <w:rPr>
                <w:rFonts w:ascii="Times New Roman" w:hAnsi="Times New Roman" w:cs="Times New Roman" w:eastAsia="Times New Roman"/>
                <w:sz w:val="20"/>
                <w:szCs w:val="20"/>
                <w:b/>
              </w:rPr>
              <w:t xml:space="preserve">P(effect &lt; 0.80)</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0.0 (ISIS-4 / RCTs only)</w:t>
            </w:r>
          </w:p>
        </w:tc>
        <w:tc>
          <w:tcPr/>
          <w:p>
            <w:pPr>
              <w:pStyle w:val="Normal"/>
              <w:jc w:val="left"/>
              <w:spacing w:line="240" w:lineRule="auto" w:after="0"/>
            </w:pPr>
            <w:r>
              <w:rPr>
                <w:rFonts w:ascii="Times New Roman" w:hAnsi="Times New Roman" w:cs="Times New Roman" w:eastAsia="Times New Roman"/>
                <w:sz w:val="20"/>
                <w:szCs w:val="20"/>
              </w:rPr>
              <w:t xml:space="preserve">OR 1.05 (0.03--27.97)</w:t>
            </w:r>
          </w:p>
        </w:tc>
        <w:tc>
          <w:tcPr/>
          <w:p>
            <w:pPr>
              <w:pStyle w:val="Normal"/>
              <w:jc w:val="left"/>
              <w:spacing w:line="240" w:lineRule="auto" w:after="0"/>
            </w:pPr>
            <w:r>
              <w:rPr>
                <w:rFonts w:ascii="Times New Roman" w:hAnsi="Times New Roman" w:cs="Times New Roman" w:eastAsia="Times New Roman"/>
                <w:sz w:val="20"/>
                <w:szCs w:val="20"/>
              </w:rPr>
              <w:t xml:space="preserve">42.8%</w:t>
            </w:r>
          </w:p>
        </w:tc>
        <w:tc>
          <w:tcPr/>
          <w:p>
            <w:pPr>
              <w:pStyle w:val="Normal"/>
              <w:jc w:val="left"/>
              <w:spacing w:line="240" w:lineRule="auto" w:after="0"/>
            </w:pPr>
            <w:r>
              <w:rPr>
                <w:rFonts w:ascii="Times New Roman" w:hAnsi="Times New Roman" w:cs="Times New Roman" w:eastAsia="Times New Roman"/>
                <w:sz w:val="20"/>
                <w:szCs w:val="20"/>
              </w:rPr>
              <w:t xml:space="preserve">33.4%</w:t>
            </w:r>
          </w:p>
        </w:tc>
        <w:tc>
          <w:tcPr/>
          <w:p>
            <w:pPr>
              <w:pStyle w:val="Normal"/>
              <w:jc w:val="left"/>
              <w:spacing w:line="240" w:lineRule="auto" w:after="0"/>
            </w:pPr>
            <w:r>
              <w:rPr>
                <w:rFonts w:ascii="Times New Roman" w:hAnsi="Times New Roman" w:cs="Times New Roman" w:eastAsia="Times New Roman"/>
                <w:sz w:val="20"/>
                <w:szCs w:val="20"/>
              </w:rPr>
              <w:t xml:space="preserve">27.0%</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0.0 (ISIS-4 / RCTs only)</w:t>
            </w:r>
          </w:p>
        </w:tc>
        <w:tc>
          <w:tcPr/>
          <w:p>
            <w:pPr>
              <w:pStyle w:val="Normal"/>
              <w:jc w:val="left"/>
              <w:spacing w:line="240" w:lineRule="auto" w:after="0"/>
            </w:pPr>
            <w:r>
              <w:rPr>
                <w:rFonts w:ascii="Times New Roman" w:hAnsi="Times New Roman" w:cs="Times New Roman" w:eastAsia="Times New Roman"/>
                <w:sz w:val="20"/>
                <w:szCs w:val="20"/>
              </w:rPr>
              <w:t xml:space="preserve">HR 0.97 (0.58--1.65)</w:t>
            </w:r>
          </w:p>
        </w:tc>
        <w:tc>
          <w:tcPr/>
          <w:p>
            <w:pPr>
              <w:pStyle w:val="Normal"/>
              <w:jc w:val="left"/>
              <w:spacing w:line="240" w:lineRule="auto" w:after="0"/>
            </w:pPr>
            <w:r>
              <w:rPr>
                <w:rFonts w:ascii="Times New Roman" w:hAnsi="Times New Roman" w:cs="Times New Roman" w:eastAsia="Times New Roman"/>
                <w:sz w:val="20"/>
                <w:szCs w:val="20"/>
              </w:rPr>
              <w:t xml:space="preserve">62.9%</w:t>
            </w:r>
          </w:p>
        </w:tc>
        <w:tc>
          <w:tcPr/>
          <w:p>
            <w:pPr>
              <w:pStyle w:val="Normal"/>
              <w:jc w:val="left"/>
              <w:spacing w:line="240" w:lineRule="auto" w:after="0"/>
            </w:pPr>
            <w:r>
              <w:rPr>
                <w:rFonts w:ascii="Times New Roman" w:hAnsi="Times New Roman" w:cs="Times New Roman" w:eastAsia="Times New Roman"/>
                <w:sz w:val="20"/>
                <w:szCs w:val="20"/>
              </w:rPr>
              <w:t xml:space="preserve">21.2%</w:t>
            </w:r>
          </w:p>
        </w:tc>
        <w:tc>
          <w:tcPr/>
          <w:p>
            <w:pPr>
              <w:pStyle w:val="Normal"/>
              <w:jc w:val="left"/>
              <w:spacing w:line="240" w:lineRule="auto" w:after="0"/>
            </w:pPr>
            <w:r>
              <w:rPr>
                <w:rFonts w:ascii="Times New Roman" w:hAnsi="Times New Roman" w:cs="Times New Roman" w:eastAsia="Times New Roman"/>
                <w:sz w:val="20"/>
                <w:szCs w:val="20"/>
              </w:rPr>
              <w:t xml:space="preserve">8.9%</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0.1</w:t>
            </w:r>
          </w:p>
        </w:tc>
        <w:tc>
          <w:tcPr/>
          <w:p>
            <w:pPr>
              <w:pStyle w:val="Normal"/>
              <w:jc w:val="left"/>
              <w:spacing w:line="240" w:lineRule="auto" w:after="0"/>
            </w:pPr>
            <w:r>
              <w:rPr>
                <w:rFonts w:ascii="Times New Roman" w:hAnsi="Times New Roman" w:cs="Times New Roman" w:eastAsia="Times New Roman"/>
                <w:sz w:val="20"/>
                <w:szCs w:val="20"/>
              </w:rPr>
              <w:t xml:space="preserve">OR 0.93 (0.15--2.92)</w:t>
            </w:r>
          </w:p>
        </w:tc>
        <w:tc>
          <w:tcPr/>
          <w:p>
            <w:pPr>
              <w:pStyle w:val="Normal"/>
              <w:jc w:val="left"/>
              <w:spacing w:line="240" w:lineRule="auto" w:after="0"/>
            </w:pPr>
            <w:r>
              <w:rPr>
                <w:rFonts w:ascii="Times New Roman" w:hAnsi="Times New Roman" w:cs="Times New Roman" w:eastAsia="Times New Roman"/>
                <w:sz w:val="20"/>
                <w:szCs w:val="20"/>
              </w:rPr>
              <w:t xml:space="preserve">58.3%</w:t>
            </w:r>
          </w:p>
        </w:tc>
        <w:tc>
          <w:tcPr/>
          <w:p>
            <w:pPr>
              <w:pStyle w:val="Normal"/>
              <w:jc w:val="left"/>
              <w:spacing w:line="240" w:lineRule="auto" w:after="0"/>
            </w:pPr>
            <w:r>
              <w:rPr>
                <w:rFonts w:ascii="Times New Roman" w:hAnsi="Times New Roman" w:cs="Times New Roman" w:eastAsia="Times New Roman"/>
                <w:sz w:val="20"/>
                <w:szCs w:val="20"/>
              </w:rPr>
              <w:t xml:space="preserve">46.3%</w:t>
            </w:r>
          </w:p>
        </w:tc>
        <w:tc>
          <w:tcPr/>
          <w:p>
            <w:pPr>
              <w:pStyle w:val="Normal"/>
              <w:jc w:val="left"/>
              <w:spacing w:line="240" w:lineRule="auto" w:after="0"/>
            </w:pPr>
            <w:r>
              <w:rPr>
                <w:rFonts w:ascii="Times New Roman" w:hAnsi="Times New Roman" w:cs="Times New Roman" w:eastAsia="Times New Roman"/>
                <w:sz w:val="20"/>
                <w:szCs w:val="20"/>
              </w:rPr>
              <w:t xml:space="preserve">36.2%</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0.1</w:t>
            </w:r>
          </w:p>
        </w:tc>
        <w:tc>
          <w:tcPr/>
          <w:p>
            <w:pPr>
              <w:pStyle w:val="Normal"/>
              <w:jc w:val="left"/>
              <w:spacing w:line="240" w:lineRule="auto" w:after="0"/>
            </w:pPr>
            <w:r>
              <w:rPr>
                <w:rFonts w:ascii="Times New Roman" w:hAnsi="Times New Roman" w:cs="Times New Roman" w:eastAsia="Times New Roman"/>
                <w:sz w:val="20"/>
                <w:szCs w:val="20"/>
              </w:rPr>
              <w:t xml:space="preserve">HR 0.92 (0.53--1.64)</w:t>
            </w:r>
          </w:p>
        </w:tc>
        <w:tc>
          <w:tcPr/>
          <w:p>
            <w:pPr>
              <w:pStyle w:val="Normal"/>
              <w:jc w:val="left"/>
              <w:spacing w:line="240" w:lineRule="auto" w:after="0"/>
            </w:pPr>
            <w:r>
              <w:rPr>
                <w:rFonts w:ascii="Times New Roman" w:hAnsi="Times New Roman" w:cs="Times New Roman" w:eastAsia="Times New Roman"/>
                <w:sz w:val="20"/>
                <w:szCs w:val="20"/>
              </w:rPr>
              <w:t xml:space="preserve">71.9%</w:t>
            </w:r>
          </w:p>
        </w:tc>
        <w:tc>
          <w:tcPr/>
          <w:p>
            <w:pPr>
              <w:pStyle w:val="Normal"/>
              <w:jc w:val="left"/>
              <w:spacing w:line="240" w:lineRule="auto" w:after="0"/>
            </w:pPr>
            <w:r>
              <w:rPr>
                <w:rFonts w:ascii="Times New Roman" w:hAnsi="Times New Roman" w:cs="Times New Roman" w:eastAsia="Times New Roman"/>
                <w:sz w:val="20"/>
                <w:szCs w:val="20"/>
              </w:rPr>
              <w:t xml:space="preserve">42.7%</w:t>
            </w:r>
          </w:p>
        </w:tc>
        <w:tc>
          <w:tcPr/>
          <w:p>
            <w:pPr>
              <w:pStyle w:val="Normal"/>
              <w:jc w:val="left"/>
              <w:spacing w:line="240" w:lineRule="auto" w:after="0"/>
            </w:pPr>
            <w:r>
              <w:rPr>
                <w:rFonts w:ascii="Times New Roman" w:hAnsi="Times New Roman" w:cs="Times New Roman" w:eastAsia="Times New Roman"/>
                <w:sz w:val="20"/>
                <w:szCs w:val="20"/>
              </w:rPr>
              <w:t xml:space="preserve">19.2%</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0.2</w:t>
            </w:r>
          </w:p>
        </w:tc>
        <w:tc>
          <w:tcPr/>
          <w:p>
            <w:pPr>
              <w:pStyle w:val="Normal"/>
              <w:jc w:val="left"/>
              <w:spacing w:line="240" w:lineRule="auto" w:after="0"/>
            </w:pPr>
            <w:r>
              <w:rPr>
                <w:rFonts w:ascii="Times New Roman" w:hAnsi="Times New Roman" w:cs="Times New Roman" w:eastAsia="Times New Roman"/>
                <w:sz w:val="20"/>
                <w:szCs w:val="20"/>
              </w:rPr>
              <w:t xml:space="preserve">OR 0.83 (0.22--1.75)</w:t>
            </w:r>
          </w:p>
        </w:tc>
        <w:tc>
          <w:tcPr/>
          <w:p>
            <w:pPr>
              <w:pStyle w:val="Normal"/>
              <w:jc w:val="left"/>
              <w:spacing w:line="240" w:lineRule="auto" w:after="0"/>
            </w:pPr>
            <w:r>
              <w:rPr>
                <w:rFonts w:ascii="Times New Roman" w:hAnsi="Times New Roman" w:cs="Times New Roman" w:eastAsia="Times New Roman"/>
                <w:sz w:val="20"/>
                <w:szCs w:val="20"/>
              </w:rPr>
              <w:t xml:space="preserve">71.4%</w:t>
            </w:r>
          </w:p>
        </w:tc>
        <w:tc>
          <w:tcPr/>
          <w:p>
            <w:pPr>
              <w:pStyle w:val="Normal"/>
              <w:jc w:val="left"/>
              <w:spacing w:line="240" w:lineRule="auto" w:after="0"/>
            </w:pPr>
            <w:r>
              <w:rPr>
                <w:rFonts w:ascii="Times New Roman" w:hAnsi="Times New Roman" w:cs="Times New Roman" w:eastAsia="Times New Roman"/>
                <w:sz w:val="20"/>
                <w:szCs w:val="20"/>
              </w:rPr>
              <w:t xml:space="preserve">58.9%</w:t>
            </w:r>
          </w:p>
        </w:tc>
        <w:tc>
          <w:tcPr/>
          <w:p>
            <w:pPr>
              <w:pStyle w:val="Normal"/>
              <w:jc w:val="left"/>
              <w:spacing w:line="240" w:lineRule="auto" w:after="0"/>
            </w:pPr>
            <w:r>
              <w:rPr>
                <w:rFonts w:ascii="Times New Roman" w:hAnsi="Times New Roman" w:cs="Times New Roman" w:eastAsia="Times New Roman"/>
                <w:sz w:val="20"/>
                <w:szCs w:val="20"/>
              </w:rPr>
              <w:t xml:space="preserve">46.9%</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0.2</w:t>
            </w:r>
          </w:p>
        </w:tc>
        <w:tc>
          <w:tcPr/>
          <w:p>
            <w:pPr>
              <w:pStyle w:val="Normal"/>
              <w:jc w:val="left"/>
              <w:spacing w:line="240" w:lineRule="auto" w:after="0"/>
            </w:pPr>
            <w:r>
              <w:rPr>
                <w:rFonts w:ascii="Times New Roman" w:hAnsi="Times New Roman" w:cs="Times New Roman" w:eastAsia="Times New Roman"/>
                <w:sz w:val="20"/>
                <w:szCs w:val="20"/>
              </w:rPr>
              <w:t xml:space="preserve">HR 0.89 (0.53--1.41)</w:t>
            </w:r>
          </w:p>
        </w:tc>
        <w:tc>
          <w:tcPr/>
          <w:p>
            <w:pPr>
              <w:pStyle w:val="Normal"/>
              <w:jc w:val="left"/>
              <w:spacing w:line="240" w:lineRule="auto" w:after="0"/>
            </w:pPr>
            <w:r>
              <w:rPr>
                <w:rFonts w:ascii="Times New Roman" w:hAnsi="Times New Roman" w:cs="Times New Roman" w:eastAsia="Times New Roman"/>
                <w:sz w:val="20"/>
                <w:szCs w:val="20"/>
              </w:rPr>
              <w:t xml:space="preserve">79.8%</w:t>
            </w:r>
          </w:p>
        </w:tc>
        <w:tc>
          <w:tcPr/>
          <w:p>
            <w:pPr>
              <w:pStyle w:val="Normal"/>
              <w:jc w:val="left"/>
              <w:spacing w:line="240" w:lineRule="auto" w:after="0"/>
            </w:pPr>
            <w:r>
              <w:rPr>
                <w:rFonts w:ascii="Times New Roman" w:hAnsi="Times New Roman" w:cs="Times New Roman" w:eastAsia="Times New Roman"/>
                <w:sz w:val="20"/>
                <w:szCs w:val="20"/>
              </w:rPr>
              <w:t xml:space="preserve">54.7%</w:t>
            </w:r>
          </w:p>
        </w:tc>
        <w:tc>
          <w:tcPr/>
          <w:p>
            <w:pPr>
              <w:pStyle w:val="Normal"/>
              <w:jc w:val="left"/>
              <w:spacing w:line="240" w:lineRule="auto" w:after="0"/>
            </w:pPr>
            <w:r>
              <w:rPr>
                <w:rFonts w:ascii="Times New Roman" w:hAnsi="Times New Roman" w:cs="Times New Roman" w:eastAsia="Times New Roman"/>
                <w:sz w:val="20"/>
                <w:szCs w:val="20"/>
              </w:rPr>
              <w:t xml:space="preserve">24.4%</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0.3</w:t>
            </w:r>
          </w:p>
        </w:tc>
        <w:tc>
          <w:tcPr/>
          <w:p>
            <w:pPr>
              <w:pStyle w:val="Normal"/>
              <w:jc w:val="left"/>
              <w:spacing w:line="240" w:lineRule="auto" w:after="0"/>
            </w:pPr>
            <w:r>
              <w:rPr>
                <w:rFonts w:ascii="Times New Roman" w:hAnsi="Times New Roman" w:cs="Times New Roman" w:eastAsia="Times New Roman"/>
                <w:sz w:val="20"/>
                <w:szCs w:val="20"/>
              </w:rPr>
              <w:t xml:space="preserve">OR 0.74 (0.25--1.43)</w:t>
            </w:r>
          </w:p>
        </w:tc>
        <w:tc>
          <w:tcPr/>
          <w:p>
            <w:pPr>
              <w:pStyle w:val="Normal"/>
              <w:jc w:val="left"/>
              <w:spacing w:line="240" w:lineRule="auto" w:after="0"/>
            </w:pPr>
            <w:r>
              <w:rPr>
                <w:rFonts w:ascii="Times New Roman" w:hAnsi="Times New Roman" w:cs="Times New Roman" w:eastAsia="Times New Roman"/>
                <w:sz w:val="20"/>
                <w:szCs w:val="20"/>
              </w:rPr>
              <w:t xml:space="preserve">80.7%</w:t>
            </w:r>
          </w:p>
        </w:tc>
        <w:tc>
          <w:tcPr/>
          <w:p>
            <w:pPr>
              <w:pStyle w:val="Normal"/>
              <w:jc w:val="left"/>
              <w:spacing w:line="240" w:lineRule="auto" w:after="0"/>
            </w:pPr>
            <w:r>
              <w:rPr>
                <w:rFonts w:ascii="Times New Roman" w:hAnsi="Times New Roman" w:cs="Times New Roman" w:eastAsia="Times New Roman"/>
                <w:sz w:val="20"/>
                <w:szCs w:val="20"/>
              </w:rPr>
              <w:t xml:space="preserve">69.6%</w:t>
            </w:r>
          </w:p>
        </w:tc>
        <w:tc>
          <w:tcPr/>
          <w:p>
            <w:pPr>
              <w:pStyle w:val="Normal"/>
              <w:jc w:val="left"/>
              <w:spacing w:line="240" w:lineRule="auto" w:after="0"/>
            </w:pPr>
            <w:r>
              <w:rPr>
                <w:rFonts w:ascii="Times New Roman" w:hAnsi="Times New Roman" w:cs="Times New Roman" w:eastAsia="Times New Roman"/>
                <w:sz w:val="20"/>
                <w:szCs w:val="20"/>
              </w:rPr>
              <w:t xml:space="preserve">57.4%</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0.3</w:t>
            </w:r>
          </w:p>
        </w:tc>
        <w:tc>
          <w:tcPr/>
          <w:p>
            <w:pPr>
              <w:pStyle w:val="Normal"/>
              <w:jc w:val="left"/>
              <w:spacing w:line="240" w:lineRule="auto" w:after="0"/>
            </w:pPr>
            <w:r>
              <w:rPr>
                <w:rFonts w:ascii="Times New Roman" w:hAnsi="Times New Roman" w:cs="Times New Roman" w:eastAsia="Times New Roman"/>
                <w:sz w:val="20"/>
                <w:szCs w:val="20"/>
              </w:rPr>
              <w:t xml:space="preserve">HR 0.85 (0.55--1.24)</w:t>
            </w:r>
          </w:p>
        </w:tc>
        <w:tc>
          <w:tcPr/>
          <w:p>
            <w:pPr>
              <w:pStyle w:val="Normal"/>
              <w:jc w:val="left"/>
              <w:spacing w:line="240" w:lineRule="auto" w:after="0"/>
            </w:pPr>
            <w:r>
              <w:rPr>
                <w:rFonts w:ascii="Times New Roman" w:hAnsi="Times New Roman" w:cs="Times New Roman" w:eastAsia="Times New Roman"/>
                <w:sz w:val="20"/>
                <w:szCs w:val="20"/>
              </w:rPr>
              <w:t xml:space="preserve">86.5%</w:t>
            </w:r>
          </w:p>
        </w:tc>
        <w:tc>
          <w:tcPr/>
          <w:p>
            <w:pPr>
              <w:pStyle w:val="Normal"/>
              <w:jc w:val="left"/>
              <w:spacing w:line="240" w:lineRule="auto" w:after="0"/>
            </w:pPr>
            <w:r>
              <w:rPr>
                <w:rFonts w:ascii="Times New Roman" w:hAnsi="Times New Roman" w:cs="Times New Roman" w:eastAsia="Times New Roman"/>
                <w:sz w:val="20"/>
                <w:szCs w:val="20"/>
              </w:rPr>
              <w:t xml:space="preserve">66.0%</w:t>
            </w:r>
          </w:p>
        </w:tc>
        <w:tc>
          <w:tcPr/>
          <w:p>
            <w:pPr>
              <w:pStyle w:val="Normal"/>
              <w:jc w:val="left"/>
              <w:spacing w:line="240" w:lineRule="auto" w:after="0"/>
            </w:pPr>
            <w:r>
              <w:rPr>
                <w:rFonts w:ascii="Times New Roman" w:hAnsi="Times New Roman" w:cs="Times New Roman" w:eastAsia="Times New Roman"/>
                <w:sz w:val="20"/>
                <w:szCs w:val="20"/>
              </w:rPr>
              <w:t xml:space="preserve">31.1%</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0.5</w:t>
            </w:r>
          </w:p>
        </w:tc>
        <w:tc>
          <w:tcPr/>
          <w:p>
            <w:pPr>
              <w:pStyle w:val="Normal"/>
              <w:jc w:val="left"/>
              <w:spacing w:line="240" w:lineRule="auto" w:after="0"/>
            </w:pPr>
            <w:r>
              <w:rPr>
                <w:rFonts w:ascii="Times New Roman" w:hAnsi="Times New Roman" w:cs="Times New Roman" w:eastAsia="Times New Roman"/>
                <w:sz w:val="20"/>
                <w:szCs w:val="20"/>
              </w:rPr>
              <w:t xml:space="preserve">OR 0.63 (0.28--1.10)</w:t>
            </w:r>
          </w:p>
        </w:tc>
        <w:tc>
          <w:tcPr/>
          <w:p>
            <w:pPr>
              <w:pStyle w:val="Normal"/>
              <w:jc w:val="left"/>
              <w:spacing w:line="240" w:lineRule="auto" w:after="0"/>
            </w:pPr>
            <w:r>
              <w:rPr>
                <w:rFonts w:ascii="Times New Roman" w:hAnsi="Times New Roman" w:cs="Times New Roman" w:eastAsia="Times New Roman"/>
                <w:sz w:val="20"/>
                <w:szCs w:val="20"/>
              </w:rPr>
              <w:t xml:space="preserve">94.0%</w:t>
            </w:r>
          </w:p>
        </w:tc>
        <w:tc>
          <w:tcPr/>
          <w:p>
            <w:pPr>
              <w:pStyle w:val="Normal"/>
              <w:jc w:val="left"/>
              <w:spacing w:line="240" w:lineRule="auto" w:after="0"/>
            </w:pPr>
            <w:r>
              <w:rPr>
                <w:rFonts w:ascii="Times New Roman" w:hAnsi="Times New Roman" w:cs="Times New Roman" w:eastAsia="Times New Roman"/>
                <w:sz w:val="20"/>
                <w:szCs w:val="20"/>
              </w:rPr>
              <w:t xml:space="preserve">87.2%</w:t>
            </w:r>
          </w:p>
        </w:tc>
        <w:tc>
          <w:tcPr/>
          <w:p>
            <w:pPr>
              <w:pStyle w:val="Normal"/>
              <w:jc w:val="left"/>
              <w:spacing w:line="240" w:lineRule="auto" w:after="0"/>
            </w:pPr>
            <w:r>
              <w:rPr>
                <w:rFonts w:ascii="Times New Roman" w:hAnsi="Times New Roman" w:cs="Times New Roman" w:eastAsia="Times New Roman"/>
                <w:sz w:val="20"/>
                <w:szCs w:val="20"/>
              </w:rPr>
              <w:t xml:space="preserve">76.3%</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0.5</w:t>
            </w:r>
          </w:p>
        </w:tc>
        <w:tc>
          <w:tcPr/>
          <w:p>
            <w:pPr>
              <w:pStyle w:val="Normal"/>
              <w:jc w:val="left"/>
              <w:spacing w:line="240" w:lineRule="auto" w:after="0"/>
            </w:pPr>
            <w:r>
              <w:rPr>
                <w:rFonts w:ascii="Times New Roman" w:hAnsi="Times New Roman" w:cs="Times New Roman" w:eastAsia="Times New Roman"/>
                <w:sz w:val="20"/>
                <w:szCs w:val="20"/>
              </w:rPr>
              <w:t xml:space="preserve">HR 0.82 (0.59--1.10)</w:t>
            </w:r>
          </w:p>
        </w:tc>
        <w:tc>
          <w:tcPr/>
          <w:p>
            <w:pPr>
              <w:pStyle w:val="Normal"/>
              <w:jc w:val="left"/>
              <w:spacing w:line="240" w:lineRule="auto" w:after="0"/>
            </w:pPr>
            <w:r>
              <w:rPr>
                <w:rFonts w:ascii="Times New Roman" w:hAnsi="Times New Roman" w:cs="Times New Roman" w:eastAsia="Times New Roman"/>
                <w:sz w:val="20"/>
                <w:szCs w:val="20"/>
              </w:rPr>
              <w:t xml:space="preserve">93.9%</w:t>
            </w:r>
          </w:p>
        </w:tc>
        <w:tc>
          <w:tcPr/>
          <w:p>
            <w:pPr>
              <w:pStyle w:val="Normal"/>
              <w:jc w:val="left"/>
              <w:spacing w:line="240" w:lineRule="auto" w:after="0"/>
            </w:pPr>
            <w:r>
              <w:rPr>
                <w:rFonts w:ascii="Times New Roman" w:hAnsi="Times New Roman" w:cs="Times New Roman" w:eastAsia="Times New Roman"/>
                <w:sz w:val="20"/>
                <w:szCs w:val="20"/>
              </w:rPr>
              <w:t xml:space="preserve">79.6%</w:t>
            </w:r>
          </w:p>
        </w:tc>
        <w:tc>
          <w:tcPr/>
          <w:p>
            <w:pPr>
              <w:pStyle w:val="Normal"/>
              <w:jc w:val="left"/>
              <w:spacing w:line="240" w:lineRule="auto" w:after="0"/>
            </w:pPr>
            <w:r>
              <w:rPr>
                <w:rFonts w:ascii="Times New Roman" w:hAnsi="Times New Roman" w:cs="Times New Roman" w:eastAsia="Times New Roman"/>
                <w:sz w:val="20"/>
                <w:szCs w:val="20"/>
              </w:rPr>
              <w:t xml:space="preserve">41.9%</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0.7</w:t>
            </w:r>
          </w:p>
        </w:tc>
        <w:tc>
          <w:tcPr/>
          <w:p>
            <w:pPr>
              <w:pStyle w:val="Normal"/>
              <w:jc w:val="left"/>
              <w:spacing w:line="240" w:lineRule="auto" w:after="0"/>
            </w:pPr>
            <w:r>
              <w:rPr>
                <w:rFonts w:ascii="Times New Roman" w:hAnsi="Times New Roman" w:cs="Times New Roman" w:eastAsia="Times New Roman"/>
                <w:sz w:val="20"/>
                <w:szCs w:val="20"/>
              </w:rPr>
              <w:t xml:space="preserve">OR 0.59 (0.29--0.98)</w:t>
            </w:r>
          </w:p>
        </w:tc>
        <w:tc>
          <w:tcPr/>
          <w:p>
            <w:pPr>
              <w:pStyle w:val="Normal"/>
              <w:jc w:val="left"/>
              <w:spacing w:line="240" w:lineRule="auto" w:after="0"/>
            </w:pPr>
            <w:r>
              <w:rPr>
                <w:rFonts w:ascii="Times New Roman" w:hAnsi="Times New Roman" w:cs="Times New Roman" w:eastAsia="Times New Roman"/>
                <w:sz w:val="20"/>
                <w:szCs w:val="20"/>
              </w:rPr>
              <w:t xml:space="preserve">98.1%</w:t>
            </w:r>
          </w:p>
        </w:tc>
        <w:tc>
          <w:tcPr/>
          <w:p>
            <w:pPr>
              <w:pStyle w:val="Normal"/>
              <w:jc w:val="left"/>
              <w:spacing w:line="240" w:lineRule="auto" w:after="0"/>
            </w:pPr>
            <w:r>
              <w:rPr>
                <w:rFonts w:ascii="Times New Roman" w:hAnsi="Times New Roman" w:cs="Times New Roman" w:eastAsia="Times New Roman"/>
                <w:sz w:val="20"/>
                <w:szCs w:val="20"/>
              </w:rPr>
              <w:t xml:space="preserve">94.8%</w:t>
            </w:r>
          </w:p>
        </w:tc>
        <w:tc>
          <w:tcPr/>
          <w:p>
            <w:pPr>
              <w:pStyle w:val="Normal"/>
              <w:jc w:val="left"/>
              <w:spacing w:line="240" w:lineRule="auto" w:after="0"/>
            </w:pPr>
            <w:r>
              <w:rPr>
                <w:rFonts w:ascii="Times New Roman" w:hAnsi="Times New Roman" w:cs="Times New Roman" w:eastAsia="Times New Roman"/>
                <w:sz w:val="20"/>
                <w:szCs w:val="20"/>
              </w:rPr>
              <w:t xml:space="preserve">87.1%</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0.7</w:t>
            </w:r>
          </w:p>
        </w:tc>
        <w:tc>
          <w:tcPr/>
          <w:p>
            <w:pPr>
              <w:pStyle w:val="Normal"/>
              <w:jc w:val="left"/>
              <w:spacing w:line="240" w:lineRule="auto" w:after="0"/>
            </w:pPr>
            <w:r>
              <w:rPr>
                <w:rFonts w:ascii="Times New Roman" w:hAnsi="Times New Roman" w:cs="Times New Roman" w:eastAsia="Times New Roman"/>
                <w:sz w:val="20"/>
                <w:szCs w:val="20"/>
              </w:rPr>
              <w:t xml:space="preserve">HR 0.80 (0.62--1.00)</w:t>
            </w:r>
          </w:p>
        </w:tc>
        <w:tc>
          <w:tcPr/>
          <w:p>
            <w:pPr>
              <w:pStyle w:val="Normal"/>
              <w:jc w:val="left"/>
              <w:spacing w:line="240" w:lineRule="auto" w:after="0"/>
            </w:pPr>
            <w:r>
              <w:rPr>
                <w:rFonts w:ascii="Times New Roman" w:hAnsi="Times New Roman" w:cs="Times New Roman" w:eastAsia="Times New Roman"/>
                <w:sz w:val="20"/>
                <w:szCs w:val="20"/>
              </w:rPr>
              <w:t xml:space="preserve">97.3%</w:t>
            </w:r>
          </w:p>
        </w:tc>
        <w:tc>
          <w:tcPr/>
          <w:p>
            <w:pPr>
              <w:pStyle w:val="Normal"/>
              <w:jc w:val="left"/>
              <w:spacing w:line="240" w:lineRule="auto" w:after="0"/>
            </w:pPr>
            <w:r>
              <w:rPr>
                <w:rFonts w:ascii="Times New Roman" w:hAnsi="Times New Roman" w:cs="Times New Roman" w:eastAsia="Times New Roman"/>
                <w:sz w:val="20"/>
                <w:szCs w:val="20"/>
              </w:rPr>
              <w:t xml:space="preserve">88.3%</w:t>
            </w:r>
          </w:p>
        </w:tc>
        <w:tc>
          <w:tcPr/>
          <w:p>
            <w:pPr>
              <w:pStyle w:val="Normal"/>
              <w:jc w:val="left"/>
              <w:spacing w:line="240" w:lineRule="auto" w:after="0"/>
            </w:pPr>
            <w:r>
              <w:rPr>
                <w:rFonts w:ascii="Times New Roman" w:hAnsi="Times New Roman" w:cs="Times New Roman" w:eastAsia="Times New Roman"/>
                <w:sz w:val="20"/>
                <w:szCs w:val="20"/>
              </w:rPr>
              <w:t xml:space="preserve">49.7%</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1.0 (full weight)</w:t>
            </w:r>
          </w:p>
        </w:tc>
        <w:tc>
          <w:tcPr/>
          <w:p>
            <w:pPr>
              <w:pStyle w:val="Normal"/>
              <w:jc w:val="left"/>
              <w:spacing w:line="240" w:lineRule="auto" w:after="0"/>
            </w:pPr>
            <w:r>
              <w:rPr>
                <w:rFonts w:ascii="Times New Roman" w:hAnsi="Times New Roman" w:cs="Times New Roman" w:eastAsia="Times New Roman"/>
                <w:sz w:val="20"/>
                <w:szCs w:val="20"/>
              </w:rPr>
              <w:t xml:space="preserve">OR 0.55 (0.32--0.87)</w:t>
            </w:r>
          </w:p>
        </w:tc>
        <w:tc>
          <w:tcPr/>
          <w:p>
            <w:pPr>
              <w:pStyle w:val="Normal"/>
              <w:jc w:val="left"/>
              <w:spacing w:line="240" w:lineRule="auto" w:after="0"/>
            </w:pPr>
            <w:r>
              <w:rPr>
                <w:rFonts w:ascii="Times New Roman" w:hAnsi="Times New Roman" w:cs="Times New Roman" w:eastAsia="Times New Roman"/>
                <w:sz w:val="20"/>
                <w:szCs w:val="20"/>
              </w:rPr>
              <w:t xml:space="preserve">99.6%</w:t>
            </w:r>
          </w:p>
        </w:tc>
        <w:tc>
          <w:tcPr/>
          <w:p>
            <w:pPr>
              <w:pStyle w:val="Normal"/>
              <w:jc w:val="left"/>
              <w:spacing w:line="240" w:lineRule="auto" w:after="0"/>
            </w:pPr>
            <w:r>
              <w:rPr>
                <w:rFonts w:ascii="Times New Roman" w:hAnsi="Times New Roman" w:cs="Times New Roman" w:eastAsia="Times New Roman"/>
                <w:sz w:val="20"/>
                <w:szCs w:val="20"/>
              </w:rPr>
              <w:t xml:space="preserve">98.4%</w:t>
            </w:r>
          </w:p>
        </w:tc>
        <w:tc>
          <w:tcPr/>
          <w:p>
            <w:pPr>
              <w:pStyle w:val="Normal"/>
              <w:jc w:val="left"/>
              <w:spacing w:line="240" w:lineRule="auto" w:after="0"/>
            </w:pPr>
            <w:r>
              <w:rPr>
                <w:rFonts w:ascii="Times New Roman" w:hAnsi="Times New Roman" w:cs="Times New Roman" w:eastAsia="Times New Roman"/>
                <w:sz w:val="20"/>
                <w:szCs w:val="20"/>
              </w:rPr>
              <w:t xml:space="preserve">94.4%</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1.0 (full weight)</w:t>
            </w:r>
          </w:p>
        </w:tc>
        <w:tc>
          <w:tcPr/>
          <w:p>
            <w:pPr>
              <w:pStyle w:val="Normal"/>
              <w:jc w:val="left"/>
              <w:spacing w:line="240" w:lineRule="auto" w:after="0"/>
            </w:pPr>
            <w:r>
              <w:rPr>
                <w:rFonts w:ascii="Times New Roman" w:hAnsi="Times New Roman" w:cs="Times New Roman" w:eastAsia="Times New Roman"/>
                <w:sz w:val="20"/>
                <w:szCs w:val="20"/>
              </w:rPr>
              <w:t xml:space="preserve">HR 0.78 (0.64--0.93)</w:t>
            </w:r>
          </w:p>
        </w:tc>
        <w:tc>
          <w:tcPr/>
          <w:p>
            <w:pPr>
              <w:pStyle w:val="Normal"/>
              <w:jc w:val="left"/>
              <w:spacing w:line="240" w:lineRule="auto" w:after="0"/>
            </w:pPr>
            <w:r>
              <w:rPr>
                <w:rFonts w:ascii="Times New Roman" w:hAnsi="Times New Roman" w:cs="Times New Roman" w:eastAsia="Times New Roman"/>
                <w:sz w:val="20"/>
                <w:szCs w:val="20"/>
              </w:rPr>
              <w:t xml:space="preserve">99.3%</w:t>
            </w:r>
          </w:p>
        </w:tc>
        <w:tc>
          <w:tcPr/>
          <w:p>
            <w:pPr>
              <w:pStyle w:val="Normal"/>
              <w:jc w:val="left"/>
              <w:spacing w:line="240" w:lineRule="auto" w:after="0"/>
            </w:pPr>
            <w:r>
              <w:rPr>
                <w:rFonts w:ascii="Times New Roman" w:hAnsi="Times New Roman" w:cs="Times New Roman" w:eastAsia="Times New Roman"/>
                <w:sz w:val="20"/>
                <w:szCs w:val="20"/>
              </w:rPr>
              <w:t xml:space="preserve">95.7%</w:t>
            </w:r>
          </w:p>
        </w:tc>
        <w:tc>
          <w:tcPr/>
          <w:p>
            <w:pPr>
              <w:pStyle w:val="Normal"/>
              <w:jc w:val="left"/>
              <w:spacing w:line="240" w:lineRule="auto" w:after="0"/>
            </w:pPr>
            <w:r>
              <w:rPr>
                <w:rFonts w:ascii="Times New Roman" w:hAnsi="Times New Roman" w:cs="Times New Roman" w:eastAsia="Times New Roman"/>
                <w:sz w:val="20"/>
                <w:szCs w:val="20"/>
              </w:rPr>
              <w:t xml:space="preserve">63.3%</w:t>
            </w:r>
          </w:p>
        </w:tc>
      </w:tr>
    </w:tbl>
    <w:p>
      <w:pPr>
        <w:jc w:val="center"/>
      </w:pPr>
      <w:r>
        <w:drawing>
          <wp:inline xmlns:a="http://schemas.openxmlformats.org/drawingml/2006/main" xmlns:pic="http://schemas.openxmlformats.org/drawingml/2006/picture">
            <wp:extent cx="5029200" cy="2061328"/>
            <wp:docPr id="6" name="Picture 6"/>
            <wp:cNvGraphicFramePr>
              <a:graphicFrameLocks noChangeAspect="1"/>
            </wp:cNvGraphicFramePr>
            <a:graphic>
              <a:graphicData uri="http://schemas.openxmlformats.org/drawingml/2006/picture">
                <pic:pic>
                  <pic:nvPicPr>
                    <pic:cNvPr id="0" name="fig7_sensitivity_analysis.png"/>
                    <pic:cNvPicPr/>
                  </pic:nvPicPr>
                  <pic:blipFill>
                    <a:blip r:embed="rId15"/>
                    <a:stretch>
                      <a:fillRect/>
                    </a:stretch>
                  </pic:blipFill>
                  <pic:spPr>
                    <a:xfrm>
                      <a:off x="0" y="0"/>
                      <a:ext cx="5029200" cy="2061328"/>
                    </a:xfrm>
                    <a:prstGeom prst="rect"/>
                  </pic:spPr>
                </pic:pic>
              </a:graphicData>
            </a:graphic>
          </wp:inline>
        </w:drawing>
      </w:r>
    </w:p>
    <w:p>
      <w:pPr>
        <w:jc w:val="left"/>
      </w:pPr>
      <w:r>
        <w:rPr>
          <w:rFonts w:ascii="Times New Roman" w:hAnsi="Times New Roman"/>
          <w:b/>
          <w:sz w:val="20"/>
        </w:rPr>
        <w:t xml:space="preserve">Figure 6. </w:t>
      </w:r>
      <w:r>
        <w:rPr>
          <w:rFonts w:ascii="Times New Roman" w:hAnsi="Times New Roman"/>
          <w:sz w:val="20"/>
        </w:rPr>
        <w:t>Sensitivity analysis of Bayesian integration to the discounting parameter alpha. (A) Magnesium in AMI. (B) Statins in HF. Three posterior probability thresholds are shown: P(effect &lt; 1.0), P(effect &lt; 0.90), and P(effect &lt; 0.80). Horizontal dashed line indicates 95% probability.</w:t>
      </w:r>
    </w:p>
    <w:p>
      <w:pPr>
        <w:pStyle w:val="Heading3"/>
      </w:pPr>
      <w:r>
        <w:rPr>
          <w:rFonts w:ascii="Times New Roman" w:hAnsi="Times New Roman"/>
          <w:b/>
          <w:color w:val="000000"/>
          <w:sz w:val="24"/>
        </w:rPr>
        <w:t>Module H assessment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H results are summarized in Table 4 and Fig. 7. For magnesium, the OIS for the pre-ISIS-4 effect was 85 events and the observed total was 4,617 (information fraction 5426%). The TSA efficacy boundary was crossed under random-effects accumulation, but the pooled estimate was dominated by high between-study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The appropriate KOTHA classification is</w:t>
      </w: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Inconclusive with serious inconsistency (heterogeneity)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(TSA/CI indicate benefit but the signal is downgraded by serious inconsistency (heterogeneity)). For statins, if the observational effect (HR 0.72) represented the true effect in the target population, the required information size would be 279 events; the RCTs contributed 1,385 events (information fraction 496%). The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-0.74, the efficacy boundary was not crossed, and the event rate ratio was 0.51; the appropriate classification is</w:t>
      </w: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Inconclusive with serious indirectness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(OIS reached but no TSA/CI boundary crossed; serious indirectness from enrollment-driven event dilution). In both cases, standard GRADE would be more likely to conclude "no benefit demonstrated," whereas KOTHA explicitly labels the evidence as informationally insufficient.</w:t>
      </w:r>
    </w:p>
    <w:p>
      <w:r>
        <w:rPr>
          <w:rFonts w:ascii="Times New Roman" w:hAnsi="Times New Roman"/>
          <w:b/>
          <w:i w:val="0"/>
          <w:sz w:val="24"/>
        </w:rPr>
        <w:t>Table 4: Module H assessment --- Standard GRADE vs. KOTHA-enhanced</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1584"/>
        <w:gridCol w:w="1584"/>
        <w:gridCol w:w="1584"/>
        <w:gridCol w:w="1584"/>
        <w:gridCol w:w="1584"/>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GRADE domain</w:t>
            </w:r>
          </w:p>
        </w:tc>
        <w:tc>
          <w:tcPr/>
          <w:p>
            <w:pPr>
              <w:pStyle w:val="Normal"/>
              <w:jc w:val="left"/>
              <w:spacing w:line="240" w:lineRule="auto" w:after="0"/>
            </w:pPr>
            <w:r>
              <w:rPr>
                <w:rFonts w:ascii="Times New Roman" w:hAnsi="Times New Roman" w:cs="Times New Roman" w:eastAsia="Times New Roman"/>
                <w:sz w:val="20"/>
                <w:szCs w:val="20"/>
                <w:b/>
              </w:rPr>
              <w:t xml:space="preserve">Standard (Mg in AMI)</w:t>
            </w:r>
          </w:p>
        </w:tc>
        <w:tc>
          <w:tcPr/>
          <w:p>
            <w:pPr>
              <w:pStyle w:val="Normal"/>
              <w:jc w:val="left"/>
              <w:spacing w:line="240" w:lineRule="auto" w:after="0"/>
            </w:pPr>
            <w:r>
              <w:rPr>
                <w:rFonts w:ascii="Times New Roman" w:hAnsi="Times New Roman" w:cs="Times New Roman" w:eastAsia="Times New Roman"/>
                <w:sz w:val="20"/>
                <w:szCs w:val="20"/>
                <w:b/>
              </w:rPr>
              <w:t xml:space="preserve">KOTHA (Mg in AMI)</w:t>
            </w:r>
          </w:p>
        </w:tc>
        <w:tc>
          <w:tcPr/>
          <w:p>
            <w:pPr>
              <w:pStyle w:val="Normal"/>
              <w:jc w:val="left"/>
              <w:spacing w:line="240" w:lineRule="auto" w:after="0"/>
            </w:pPr>
            <w:r>
              <w:rPr>
                <w:rFonts w:ascii="Times New Roman" w:hAnsi="Times New Roman" w:cs="Times New Roman" w:eastAsia="Times New Roman"/>
                <w:sz w:val="20"/>
                <w:szCs w:val="20"/>
                <w:b/>
              </w:rPr>
              <w:t xml:space="preserve">Standard (Statins HF)</w:t>
            </w:r>
          </w:p>
        </w:tc>
        <w:tc>
          <w:tcPr/>
          <w:p>
            <w:pPr>
              <w:pStyle w:val="Normal"/>
              <w:jc w:val="left"/>
              <w:spacing w:line="240" w:lineRule="auto" w:after="0"/>
            </w:pPr>
            <w:r>
              <w:rPr>
                <w:rFonts w:ascii="Times New Roman" w:hAnsi="Times New Roman" w:cs="Times New Roman" w:eastAsia="Times New Roman"/>
                <w:sz w:val="20"/>
                <w:szCs w:val="20"/>
                <w:b/>
              </w:rPr>
              <w:t xml:space="preserve">KOTHA (Statins HF)</w:t>
            </w:r>
          </w:p>
        </w:tc>
      </w:tr>
      <w:tr>
        <w:tc>
          <w:tcPr/>
          <w:p>
            <w:pPr>
              <w:pStyle w:val="Normal"/>
              <w:jc w:val="left"/>
              <w:spacing w:line="240" w:lineRule="auto" w:after="0"/>
            </w:pPr>
            <w:r>
              <w:rPr>
                <w:rFonts w:ascii="Times New Roman" w:hAnsi="Times New Roman" w:cs="Times New Roman" w:eastAsia="Times New Roman"/>
                <w:sz w:val="20"/>
                <w:szCs w:val="20"/>
              </w:rPr>
              <w:t xml:space="preserve">Risk of bias</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r>
      <w:tr>
        <w:tc>
          <w:tcPr/>
          <w:p>
            <w:pPr>
              <w:pStyle w:val="Normal"/>
              <w:jc w:val="left"/>
              <w:spacing w:line="240" w:lineRule="auto" w:after="0"/>
            </w:pPr>
            <w:r>
              <w:rPr>
                <w:rFonts w:ascii="Times New Roman" w:hAnsi="Times New Roman" w:cs="Times New Roman" w:eastAsia="Times New Roman"/>
                <w:sz w:val="20"/>
                <w:szCs w:val="20"/>
              </w:rPr>
              <w:t xml:space="preserve">Inconsistency</w:t>
            </w:r>
          </w:p>
        </w:tc>
        <w:tc>
          <w:tcPr/>
          <w:p>
            <w:pPr>
              <w:pStyle w:val="Normal"/>
              <w:jc w:val="left"/>
              <w:spacing w:line="240" w:lineRule="auto" w:after="0"/>
            </w:pPr>
            <w:r>
              <w:rPr>
                <w:rFonts w:ascii="Times New Roman" w:hAnsi="Times New Roman" w:cs="Times New Roman" w:eastAsia="Times New Roman"/>
                <w:sz w:val="20"/>
                <w:szCs w:val="20"/>
              </w:rPr>
              <w:t xml:space="preserve">High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62%)</w:t>
            </w:r>
          </w:p>
        </w:tc>
        <w:tc>
          <w:tcPr/>
          <w:p>
            <w:pPr>
              <w:pStyle w:val="Normal"/>
              <w:jc w:val="left"/>
              <w:spacing w:line="240" w:lineRule="auto" w:after="0"/>
            </w:pPr>
            <w:r>
              <w:rPr>
                <w:rFonts w:ascii="Times New Roman" w:hAnsi="Times New Roman" w:cs="Times New Roman" w:eastAsia="Times New Roman"/>
                <w:sz w:val="20"/>
                <w:szCs w:val="20"/>
              </w:rPr>
              <w:t xml:space="preserve">High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62%)</w:t>
            </w:r>
          </w:p>
        </w:tc>
        <w:tc>
          <w:tcPr/>
          <w:p>
            <w:pPr>
              <w:pStyle w:val="Normal"/>
              <w:jc w:val="left"/>
              <w:spacing w:line="240" w:lineRule="auto" w:after="0"/>
            </w:pPr>
            <w:r>
              <w:rPr>
                <w:rFonts w:ascii="Times New Roman" w:hAnsi="Times New Roman" w:cs="Times New Roman" w:eastAsia="Times New Roman"/>
                <w:sz w:val="20"/>
                <w:szCs w:val="20"/>
              </w:rPr>
              <w:t xml:space="preserve">Low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0%)</w:t>
            </w:r>
          </w:p>
        </w:tc>
        <w:tc>
          <w:tcPr/>
          <w:p>
            <w:pPr>
              <w:pStyle w:val="Normal"/>
              <w:jc w:val="left"/>
              <w:spacing w:line="240" w:lineRule="auto" w:after="0"/>
            </w:pPr>
            <w:r>
              <w:rPr>
                <w:rFonts w:ascii="Times New Roman" w:hAnsi="Times New Roman" w:cs="Times New Roman" w:eastAsia="Times New Roman"/>
                <w:sz w:val="20"/>
                <w:szCs w:val="20"/>
              </w:rPr>
              <w:t xml:space="preserve">Low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0%)</w:t>
            </w:r>
          </w:p>
        </w:tc>
      </w:tr>
      <w:tr>
        <w:tc>
          <w:tcPr/>
          <w:p>
            <w:pPr>
              <w:pStyle w:val="Normal"/>
              <w:jc w:val="left"/>
              <w:spacing w:line="240" w:lineRule="auto" w:after="0"/>
            </w:pPr>
            <w:r>
              <w:rPr>
                <w:rFonts w:ascii="Times New Roman" w:hAnsi="Times New Roman" w:cs="Times New Roman" w:eastAsia="Times New Roman"/>
                <w:sz w:val="20"/>
                <w:szCs w:val="20"/>
              </w:rPr>
              <w:t xml:space="preserve">Indirectness</w:t>
            </w:r>
          </w:p>
        </w:tc>
        <w:tc>
          <w:tcPr/>
          <w:p>
            <w:pPr>
              <w:pStyle w:val="Normal"/>
              <w:jc w:val="left"/>
              <w:spacing w:line="240" w:lineRule="auto" w:after="0"/>
            </w:pPr>
            <w:r>
              <w:rPr>
                <w:rFonts w:ascii="Times New Roman" w:hAnsi="Times New Roman" w:cs="Times New Roman" w:eastAsia="Times New Roman"/>
                <w:sz w:val="20"/>
                <w:szCs w:val="20"/>
              </w:rPr>
              <w:t xml:space="preserve">Not assessed</w:t>
            </w:r>
          </w:p>
        </w:tc>
        <w:tc>
          <w:tcPr/>
          <w:p>
            <w:pPr>
              <w:pStyle w:val="Normal"/>
              <w:jc w:val="left"/>
              <w:spacing w:line="240" w:lineRule="auto" w:after="0"/>
            </w:pPr>
            <w:r>
              <w:rPr>
                <w:rFonts w:ascii="Times New Roman" w:hAnsi="Times New Roman" w:cs="Times New Roman" w:eastAsia="Times New Roman"/>
                <w:sz w:val="20"/>
                <w:szCs w:val="20"/>
              </w:rPr>
              <w:t xml:space="preserve">Low: event rate decreased by 18%</w:t>
            </w:r>
          </w:p>
        </w:tc>
        <w:tc>
          <w:tcPr/>
          <w:p>
            <w:pPr>
              <w:pStyle w:val="Normal"/>
              <w:jc w:val="left"/>
              <w:spacing w:line="240" w:lineRule="auto" w:after="0"/>
            </w:pPr>
            <w:r>
              <w:rPr>
                <w:rFonts w:ascii="Times New Roman" w:hAnsi="Times New Roman" w:cs="Times New Roman" w:eastAsia="Times New Roman"/>
                <w:sz w:val="20"/>
                <w:szCs w:val="20"/>
              </w:rPr>
              <w:t xml:space="preserve">Not assessed</w:t>
            </w:r>
          </w:p>
        </w:tc>
        <w:tc>
          <w:tcPr/>
          <w:p>
            <w:pPr>
              <w:pStyle w:val="Normal"/>
              <w:jc w:val="left"/>
              <w:spacing w:line="240" w:lineRule="auto" w:after="0"/>
            </w:pPr>
            <w:r>
              <w:rPr>
                <w:rFonts w:ascii="Times New Roman" w:hAnsi="Times New Roman" w:cs="Times New Roman" w:eastAsia="Times New Roman"/>
                <w:sz w:val="20"/>
                <w:szCs w:val="20"/>
              </w:rPr>
              <w:t xml:space="preserve">Serious: event rate decreased by 49%</w:t>
            </w:r>
          </w:p>
        </w:tc>
      </w:tr>
      <w:tr>
        <w:tc>
          <w:tcPr/>
          <w:p>
            <w:pPr>
              <w:pStyle w:val="Normal"/>
              <w:jc w:val="left"/>
              <w:spacing w:line="240" w:lineRule="auto" w:after="0"/>
            </w:pPr>
            <w:r>
              <w:rPr>
                <w:rFonts w:ascii="Times New Roman" w:hAnsi="Times New Roman" w:cs="Times New Roman" w:eastAsia="Times New Roman"/>
                <w:sz w:val="20"/>
                <w:szCs w:val="20"/>
              </w:rPr>
              <w:t xml:space="preserve">Imprecision</w:t>
            </w:r>
          </w:p>
        </w:tc>
        <w:tc>
          <w:tcPr/>
          <w:p>
            <w:pPr>
              <w:pStyle w:val="Normal"/>
              <w:jc w:val="left"/>
              <w:spacing w:line="240" w:lineRule="auto" w:after="0"/>
            </w:pPr>
            <w:r>
              <w:rPr>
                <w:rFonts w:ascii="Times New Roman" w:hAnsi="Times New Roman" w:cs="Times New Roman" w:eastAsia="Times New Roman"/>
                <w:sz w:val="20"/>
                <w:szCs w:val="20"/>
              </w:rPr>
              <w:t xml:space="preserve">Not serious (OIS met)</w:t>
            </w:r>
          </w:p>
        </w:tc>
        <w:tc>
          <w:tcPr/>
          <w:p>
            <w:pPr>
              <w:pStyle w:val="Normal"/>
              <w:jc w:val="left"/>
              <w:spacing w:line="240" w:lineRule="auto" w:after="0"/>
            </w:pPr>
            <w:r>
              <w:rPr>
                <w:rFonts w:ascii="Times New Roman" w:hAnsi="Times New Roman" w:cs="Times New Roman" w:eastAsia="Times New Roman"/>
                <w:sz w:val="20"/>
                <w:szCs w:val="20"/>
              </w:rPr>
              <w:t xml:space="preserve">Not serious (OIS met, CI excludes null)</w:t>
            </w:r>
          </w:p>
        </w:tc>
        <w:tc>
          <w:tcPr/>
          <w:p>
            <w:pPr>
              <w:pStyle w:val="Normal"/>
              <w:jc w:val="left"/>
              <w:spacing w:line="240" w:lineRule="auto" w:after="0"/>
            </w:pPr>
            <w:r>
              <w:rPr>
                <w:rFonts w:ascii="Times New Roman" w:hAnsi="Times New Roman" w:cs="Times New Roman" w:eastAsia="Times New Roman"/>
                <w:sz w:val="20"/>
                <w:szCs w:val="20"/>
              </w:rPr>
              <w:t xml:space="preserve">Not serious (OIS met, CI excludes clinically important benefit)</w:t>
            </w:r>
          </w:p>
        </w:tc>
        <w:tc>
          <w:tcPr/>
          <w:p>
            <w:pPr>
              <w:pStyle w:val="Normal"/>
              <w:jc w:val="left"/>
              <w:spacing w:line="240" w:lineRule="auto" w:after="0"/>
            </w:pPr>
            <w:r>
              <w:rPr>
                <w:rFonts w:ascii="Times New Roman" w:hAnsi="Times New Roman" w:cs="Times New Roman" w:eastAsia="Times New Roman"/>
                <w:sz w:val="20"/>
                <w:szCs w:val="20"/>
              </w:rPr>
              <w:t xml:space="preserve">Not serious (OIS met, CI excludes clinically important benefit)</w:t>
            </w:r>
          </w:p>
        </w:tc>
      </w:tr>
      <w:tr>
        <w:tc>
          <w:tcPr/>
          <w:p>
            <w:pPr>
              <w:pStyle w:val="Normal"/>
              <w:jc w:val="left"/>
              <w:spacing w:line="240" w:lineRule="auto" w:after="0"/>
            </w:pPr>
            <w:r>
              <w:rPr>
                <w:rFonts w:ascii="Times New Roman" w:hAnsi="Times New Roman" w:cs="Times New Roman" w:eastAsia="Times New Roman"/>
                <w:sz w:val="20"/>
                <w:szCs w:val="20"/>
              </w:rPr>
              <w:t xml:space="preserve">Overall certainty</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Low</w:t>
            </w:r>
          </w:p>
        </w:tc>
        <w:tc>
          <w:tcPr/>
          <w:p>
            <w:pPr>
              <w:pStyle w:val="Normal"/>
              <w:jc w:val="left"/>
              <w:spacing w:line="240" w:lineRule="auto" w:after="0"/>
            </w:pPr>
            <w:r>
              <w:rPr>
                <w:rFonts w:ascii="Times New Roman" w:hAnsi="Times New Roman" w:cs="Times New Roman" w:eastAsia="Times New Roman"/>
                <w:sz w:val="20"/>
                <w:szCs w:val="20"/>
              </w:rPr>
              <w:t xml:space="preserve">High</w:t>
            </w:r>
          </w:p>
        </w:tc>
        <w:tc>
          <w:tcPr/>
          <w:p>
            <w:pPr>
              <w:pStyle w:val="Normal"/>
              <w:jc w:val="left"/>
              <w:spacing w:line="240" w:lineRule="auto" w:after="0"/>
            </w:pPr>
            <w:r>
              <w:rPr>
                <w:rFonts w:ascii="Times New Roman" w:hAnsi="Times New Roman" w:cs="Times New Roman" w:eastAsia="Times New Roman"/>
                <w:sz w:val="20"/>
                <w:szCs w:val="20"/>
              </w:rPr>
              <w:t xml:space="preserve">Low</w:t>
            </w:r>
          </w:p>
        </w:tc>
      </w:tr>
      <w:tr>
        <w:tc>
          <w:tcPr/>
          <w:p>
            <w:pPr>
              <w:pStyle w:val="Normal"/>
              <w:jc w:val="left"/>
              <w:spacing w:line="240" w:lineRule="auto" w:after="0"/>
            </w:pPr>
            <w:r>
              <w:rPr>
                <w:rFonts w:ascii="Times New Roman" w:hAnsi="Times New Roman" w:cs="Times New Roman" w:eastAsia="Times New Roman"/>
                <w:sz w:val="20"/>
                <w:szCs w:val="20"/>
              </w:rPr>
              <w:t xml:space="preserve">Recommendation</w:t>
            </w:r>
          </w:p>
        </w:tc>
        <w:tc>
          <w:tcPr/>
          <w:p>
            <w:pPr>
              <w:pStyle w:val="Normal"/>
              <w:jc w:val="left"/>
              <w:spacing w:line="240" w:lineRule="auto" w:after="0"/>
            </w:pPr>
            <w:r>
              <w:rPr>
                <w:rFonts w:ascii="Times New Roman" w:hAnsi="Times New Roman" w:cs="Times New Roman" w:eastAsia="Times New Roman"/>
                <w:sz w:val="20"/>
                <w:szCs w:val="20"/>
              </w:rPr>
              <w:t xml:space="preserve">"No benefit demonstrated"</w:t>
            </w:r>
          </w:p>
        </w:tc>
        <w:tc>
          <w:tcPr/>
          <w:p>
            <w:pPr>
              <w:pStyle w:val="Normal"/>
              <w:jc w:val="left"/>
              <w:spacing w:line="240" w:lineRule="auto" w:after="0"/>
            </w:pPr>
            <w:r>
              <w:rPr>
                <w:rFonts w:ascii="Times New Roman" w:hAnsi="Times New Roman" w:cs="Times New Roman" w:eastAsia="Times New Roman"/>
                <w:sz w:val="20"/>
                <w:szCs w:val="20"/>
              </w:rPr>
              <w:t xml:space="preserve">"Inconclusive; conditional recommendation"</w:t>
            </w:r>
          </w:p>
        </w:tc>
        <w:tc>
          <w:tcPr/>
          <w:p>
            <w:pPr>
              <w:pStyle w:val="Normal"/>
              <w:jc w:val="left"/>
              <w:spacing w:line="240" w:lineRule="auto" w:after="0"/>
            </w:pPr>
            <w:r>
              <w:rPr>
                <w:rFonts w:ascii="Times New Roman" w:hAnsi="Times New Roman" w:cs="Times New Roman" w:eastAsia="Times New Roman"/>
                <w:sz w:val="20"/>
                <w:szCs w:val="20"/>
              </w:rPr>
              <w:t xml:space="preserve">"No benefit demonstrated"</w:t>
            </w:r>
          </w:p>
        </w:tc>
        <w:tc>
          <w:tcPr/>
          <w:p>
            <w:pPr>
              <w:pStyle w:val="Normal"/>
              <w:jc w:val="left"/>
              <w:spacing w:line="240" w:lineRule="auto" w:after="0"/>
            </w:pPr>
            <w:r>
              <w:rPr>
                <w:rFonts w:ascii="Times New Roman" w:hAnsi="Times New Roman" w:cs="Times New Roman" w:eastAsia="Times New Roman"/>
                <w:sz w:val="20"/>
                <w:szCs w:val="20"/>
              </w:rPr>
              <w:t xml:space="preserve">"Inconclusive; conditional recommendation"</w:t>
            </w:r>
          </w:p>
        </w:tc>
      </w:tr>
    </w:tbl>
    <w:p>
      <w:pPr>
        <w:jc w:val="center"/>
      </w:pPr>
      <w:r>
        <w:drawing>
          <wp:inline xmlns:a="http://schemas.openxmlformats.org/drawingml/2006/main" xmlns:pic="http://schemas.openxmlformats.org/drawingml/2006/picture">
            <wp:extent cx="5029200" cy="2416071"/>
            <wp:docPr id="7" name="Picture 7"/>
            <wp:cNvGraphicFramePr>
              <a:graphicFrameLocks noChangeAspect="1"/>
            </wp:cNvGraphicFramePr>
            <a:graphic>
              <a:graphicData uri="http://schemas.openxmlformats.org/drawingml/2006/picture">
                <pic:pic>
                  <pic:nvPicPr>
                    <pic:cNvPr id="0" name="fig8_module_h_comparison.png"/>
                    <pic:cNvPicPr/>
                  </pic:nvPicPr>
                  <pic:blipFill>
                    <a:blip r:embed="rId16"/>
                    <a:stretch>
                      <a:fillRect/>
                    </a:stretch>
                  </pic:blipFill>
                  <pic:spPr>
                    <a:xfrm>
                      <a:off x="0" y="0"/>
                      <a:ext cx="5029200" cy="2416071"/>
                    </a:xfrm>
                    <a:prstGeom prst="rect"/>
                  </pic:spPr>
                </pic:pic>
              </a:graphicData>
            </a:graphic>
          </wp:inline>
        </w:drawing>
      </w:r>
    </w:p>
    <w:p>
      <w:pPr>
        <w:jc w:val="left"/>
      </w:pPr>
      <w:r>
        <w:rPr>
          <w:rFonts w:ascii="Times New Roman" w:hAnsi="Times New Roman"/>
          <w:b/>
          <w:sz w:val="20"/>
        </w:rPr>
        <w:t xml:space="preserve">Figure 7. </w:t>
      </w:r>
      <w:r>
        <w:rPr>
          <w:rFonts w:ascii="Times New Roman" w:hAnsi="Times New Roman"/>
          <w:sz w:val="20"/>
        </w:rPr>
        <w:t>Module H assessment comparison: standard GRADE vs. KOTHA-enhanced evaluation for both illustrative cases. Color coding indicates severity of concern (green = no concern, yellow = moderate, red = serious).</w:t>
      </w:r>
    </w:p>
    <w:p>
      <w:pPr>
        <w:pStyle w:val="Heading3"/>
      </w:pPr>
      <w:r>
        <w:rPr>
          <w:rFonts w:ascii="Times New Roman" w:hAnsi="Times New Roman"/>
          <w:b/>
          <w:color w:val="000000"/>
          <w:sz w:val="24"/>
        </w:rPr>
        <w:t>Simulation study of operating characteristics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formal causal model produced a controlled setting in which structural information loss could be quantified. Across 500 replications, the target meta-analysis that used all RCTs showed negligible bias (-0.040 log-OR) and the lowest RMSE (0.119) (Table 5 and Fig. 8). The RCT-enrolled-only analysis was biased toward the null (+0.127), had inflated RMSE (0.160), and low power (24.4%), because low-risk enrollment diluted event rates and shifted the estimand. The observational-only estimate was biased in the opposite direction (-0.224) and also had poor coverage.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KOTHA with a fixed power-prior discount of</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reduced the absolute bias by 69% and the RMSE by 37% compared with RCT-enrolled only, and increased power by 63 percentage points. The RMSE-optimal discount was</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0.1; at that value the RMSE reduction was 43% and the power gain was 46 percentage points relative to RCT-enrolled only. These gains came from combining a small amount of observational information while down-weighting its design-related bias.</w:t>
      </w:r>
    </w:p>
    <w:p>
      <w:r>
        <w:rPr>
          <w:rFonts w:ascii="Times New Roman" w:hAnsi="Times New Roman"/>
          <w:b/>
          <w:i w:val="0"/>
          <w:sz w:val="24"/>
        </w:rPr>
        <w:t>Table 5: Operating characteristics of the KOTHA power-prior combination relative to alternative estimators.</w:t>
      </w:r>
    </w:p>
    <w:tbl xmlns:a="http://schemas.openxmlformats.org/drawingml/2006/main" xmlns:pic="http://schemas.openxmlformats.org/drawingml/2006/picture">
      <w:tblPr>
        <w:tblStyle w:val="Table Grid"/>
        <w:tblW w:type="auto" w:w="0"/>
        <w:tblLook w:firstRow="1" w:lastRow="0" w:firstColumn="0" w:lastColumn="0" w:noHBand="0" w:noVBand="0" w:val="0020"/>
        <w:jc w:val="center"/>
      </w:tblPr>
      <w:tblGrid>
        <w:gridCol w:w="1584"/>
        <w:gridCol w:w="1584"/>
        <w:gridCol w:w="1584"/>
        <w:gridCol w:w="1584"/>
        <w:gridCol w:w="1584"/>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Estimator</w:t>
            </w:r>
          </w:p>
        </w:tc>
        <w:tc>
          <w:tcPr/>
          <w:p>
            <w:pPr>
              <w:pStyle w:val="Normal"/>
              <w:jc w:val="left"/>
              <w:spacing w:line="240" w:lineRule="auto" w:after="0"/>
            </w:pPr>
            <w:r>
              <w:rPr>
                <w:rFonts w:ascii="Times New Roman" w:hAnsi="Times New Roman" w:cs="Times New Roman" w:eastAsia="Times New Roman"/>
                <w:sz w:val="20"/>
                <w:szCs w:val="20"/>
                <w:b/>
              </w:rPr>
              <w:t xml:space="preserve">Bias (log-OR)</w:t>
            </w:r>
          </w:p>
        </w:tc>
        <w:tc>
          <w:tcPr/>
          <w:p>
            <w:pPr>
              <w:pStyle w:val="Normal"/>
              <w:jc w:val="left"/>
              <w:spacing w:line="240" w:lineRule="auto" w:after="0"/>
            </w:pPr>
            <w:r>
              <w:rPr>
                <w:rFonts w:ascii="Times New Roman" w:hAnsi="Times New Roman" w:cs="Times New Roman" w:eastAsia="Times New Roman"/>
                <w:sz w:val="20"/>
                <w:szCs w:val="20"/>
                <w:b/>
              </w:rPr>
              <w:t xml:space="preserve">RMSE (log-OR)</w:t>
            </w:r>
          </w:p>
        </w:tc>
        <w:tc>
          <w:tcPr/>
          <w:p>
            <w:pPr>
              <w:pStyle w:val="Normal"/>
              <w:jc w:val="left"/>
              <w:spacing w:line="240" w:lineRule="auto" w:after="0"/>
            </w:pPr>
            <w:r>
              <w:rPr>
                <w:rFonts w:ascii="Times New Roman" w:hAnsi="Times New Roman" w:cs="Times New Roman" w:eastAsia="Times New Roman"/>
                <w:sz w:val="20"/>
                <w:szCs w:val="20"/>
                <w:b/>
              </w:rPr>
              <w:t xml:space="preserve">95% coverage</w:t>
            </w:r>
          </w:p>
        </w:tc>
        <w:tc>
          <w:tcPr/>
          <w:p>
            <w:pPr>
              <w:pStyle w:val="Normal"/>
              <w:jc w:val="left"/>
              <w:spacing w:line="240" w:lineRule="auto" w:after="0"/>
            </w:pPr>
            <w:r>
              <w:rPr>
                <w:rFonts w:ascii="Times New Roman" w:hAnsi="Times New Roman" w:cs="Times New Roman" w:eastAsia="Times New Roman"/>
                <w:sz w:val="20"/>
                <w:szCs w:val="20"/>
                <w:b/>
              </w:rPr>
              <w:t xml:space="preserve">Power</w:t>
            </w:r>
          </w:p>
        </w:tc>
      </w:tr>
      <w:tr>
        <w:tc>
          <w:tcPr/>
          <w:p>
            <w:pPr>
              <w:pStyle w:val="Normal"/>
              <w:jc w:val="left"/>
              <w:spacing w:line="240" w:lineRule="auto" w:after="0"/>
            </w:pPr>
            <w:r>
              <w:rPr>
                <w:rFonts w:ascii="Times New Roman" w:hAnsi="Times New Roman" w:cs="Times New Roman" w:eastAsia="Times New Roman"/>
                <w:sz w:val="20"/>
                <w:szCs w:val="20"/>
              </w:rPr>
              <w:t xml:space="preserve">Target (all RCTs)</w:t>
            </w:r>
          </w:p>
        </w:tc>
        <w:tc>
          <w:tcPr/>
          <w:p>
            <w:pPr>
              <w:pStyle w:val="Normal"/>
              <w:jc w:val="left"/>
              <w:spacing w:line="240" w:lineRule="auto" w:after="0"/>
            </w:pPr>
            <w:r>
              <w:rPr>
                <w:rFonts w:ascii="Times New Roman" w:hAnsi="Times New Roman" w:cs="Times New Roman" w:eastAsia="Times New Roman"/>
                <w:sz w:val="20"/>
                <w:szCs w:val="20"/>
              </w:rPr>
              <w:t xml:space="preserve">-0.040</w:t>
            </w:r>
          </w:p>
        </w:tc>
        <w:tc>
          <w:tcPr/>
          <w:p>
            <w:pPr>
              <w:pStyle w:val="Normal"/>
              <w:jc w:val="left"/>
              <w:spacing w:line="240" w:lineRule="auto" w:after="0"/>
            </w:pPr>
            <w:r>
              <w:rPr>
                <w:rFonts w:ascii="Times New Roman" w:hAnsi="Times New Roman" w:cs="Times New Roman" w:eastAsia="Times New Roman"/>
                <w:sz w:val="20"/>
                <w:szCs w:val="20"/>
              </w:rPr>
              <w:t xml:space="preserve">0.119</w:t>
            </w:r>
          </w:p>
        </w:tc>
        <w:tc>
          <w:tcPr/>
          <w:p>
            <w:pPr>
              <w:pStyle w:val="Normal"/>
              <w:jc w:val="left"/>
              <w:spacing w:line="240" w:lineRule="auto" w:after="0"/>
            </w:pPr>
            <w:r>
              <w:rPr>
                <w:rFonts w:ascii="Times New Roman" w:hAnsi="Times New Roman" w:cs="Times New Roman" w:eastAsia="Times New Roman"/>
                <w:sz w:val="20"/>
                <w:szCs w:val="20"/>
              </w:rPr>
              <w:t xml:space="preserve">91.2%</w:t>
            </w:r>
          </w:p>
        </w:tc>
        <w:tc>
          <w:tcPr/>
          <w:p>
            <w:pPr>
              <w:pStyle w:val="Normal"/>
              <w:jc w:val="left"/>
              <w:spacing w:line="240" w:lineRule="auto" w:after="0"/>
            </w:pPr>
            <w:r>
              <w:rPr>
                <w:rFonts w:ascii="Times New Roman" w:hAnsi="Times New Roman" w:cs="Times New Roman" w:eastAsia="Times New Roman"/>
                <w:sz w:val="20"/>
                <w:szCs w:val="20"/>
              </w:rPr>
              <w:t xml:space="preserve">67.8%</w:t>
            </w:r>
          </w:p>
        </w:tc>
      </w:tr>
      <w:tr>
        <w:tc>
          <w:tcPr/>
          <w:p>
            <w:pPr>
              <w:pStyle w:val="Normal"/>
              <w:jc w:val="left"/>
              <w:spacing w:line="240" w:lineRule="auto" w:after="0"/>
            </w:pPr>
            <w:r>
              <w:rPr>
                <w:rFonts w:ascii="Times New Roman" w:hAnsi="Times New Roman" w:cs="Times New Roman" w:eastAsia="Times New Roman"/>
                <w:sz w:val="20"/>
                <w:szCs w:val="20"/>
              </w:rPr>
              <w:t xml:space="preserve">RCT-enrolled only</w:t>
            </w:r>
          </w:p>
        </w:tc>
        <w:tc>
          <w:tcPr/>
          <w:p>
            <w:pPr>
              <w:pStyle w:val="Normal"/>
              <w:jc w:val="left"/>
              <w:spacing w:line="240" w:lineRule="auto" w:after="0"/>
            </w:pPr>
            <w:r>
              <w:rPr>
                <w:rFonts w:ascii="Times New Roman" w:hAnsi="Times New Roman" w:cs="Times New Roman" w:eastAsia="Times New Roman"/>
                <w:sz w:val="20"/>
                <w:szCs w:val="20"/>
              </w:rPr>
              <w:t xml:space="preserve">+0.127</w:t>
            </w:r>
          </w:p>
        </w:tc>
        <w:tc>
          <w:tcPr/>
          <w:p>
            <w:pPr>
              <w:pStyle w:val="Normal"/>
              <w:jc w:val="left"/>
              <w:spacing w:line="240" w:lineRule="auto" w:after="0"/>
            </w:pPr>
            <w:r>
              <w:rPr>
                <w:rFonts w:ascii="Times New Roman" w:hAnsi="Times New Roman" w:cs="Times New Roman" w:eastAsia="Times New Roman"/>
                <w:sz w:val="20"/>
                <w:szCs w:val="20"/>
              </w:rPr>
              <w:t xml:space="preserve">0.160</w:t>
            </w:r>
          </w:p>
        </w:tc>
        <w:tc>
          <w:tcPr/>
          <w:p>
            <w:pPr>
              <w:pStyle w:val="Normal"/>
              <w:jc w:val="left"/>
              <w:spacing w:line="240" w:lineRule="auto" w:after="0"/>
            </w:pPr>
            <w:r>
              <w:rPr>
                <w:rFonts w:ascii="Times New Roman" w:hAnsi="Times New Roman" w:cs="Times New Roman" w:eastAsia="Times New Roman"/>
                <w:sz w:val="20"/>
                <w:szCs w:val="20"/>
              </w:rPr>
              <w:t xml:space="preserve">73.6%</w:t>
            </w:r>
          </w:p>
        </w:tc>
        <w:tc>
          <w:tcPr/>
          <w:p>
            <w:pPr>
              <w:pStyle w:val="Normal"/>
              <w:jc w:val="left"/>
              <w:spacing w:line="240" w:lineRule="auto" w:after="0"/>
            </w:pPr>
            <w:r>
              <w:rPr>
                <w:rFonts w:ascii="Times New Roman" w:hAnsi="Times New Roman" w:cs="Times New Roman" w:eastAsia="Times New Roman"/>
                <w:sz w:val="20"/>
                <w:szCs w:val="20"/>
              </w:rPr>
              <w:t xml:space="preserve">24.4%</w:t>
            </w:r>
          </w:p>
        </w:tc>
      </w:tr>
      <w:tr>
        <w:tc>
          <w:tcPr/>
          <w:p>
            <w:pPr>
              <w:pStyle w:val="Normal"/>
              <w:jc w:val="left"/>
              <w:spacing w:line="240" w:lineRule="auto" w:after="0"/>
            </w:pPr>
            <w:r>
              <w:rPr>
                <w:rFonts w:ascii="Times New Roman" w:hAnsi="Times New Roman" w:cs="Times New Roman" w:eastAsia="Times New Roman"/>
                <w:sz w:val="20"/>
                <w:szCs w:val="20"/>
              </w:rPr>
              <w:t xml:space="preserve">Observational only</w:t>
            </w:r>
          </w:p>
        </w:tc>
        <w:tc>
          <w:tcPr/>
          <w:p>
            <w:pPr>
              <w:pStyle w:val="Normal"/>
              <w:jc w:val="left"/>
              <w:spacing w:line="240" w:lineRule="auto" w:after="0"/>
            </w:pPr>
            <w:r>
              <w:rPr>
                <w:rFonts w:ascii="Times New Roman" w:hAnsi="Times New Roman" w:cs="Times New Roman" w:eastAsia="Times New Roman"/>
                <w:sz w:val="20"/>
                <w:szCs w:val="20"/>
              </w:rPr>
              <w:t xml:space="preserve">-0.224</w:t>
            </w:r>
          </w:p>
        </w:tc>
        <w:tc>
          <w:tcPr/>
          <w:p>
            <w:pPr>
              <w:pStyle w:val="Normal"/>
              <w:jc w:val="left"/>
              <w:spacing w:line="240" w:lineRule="auto" w:after="0"/>
            </w:pPr>
            <w:r>
              <w:rPr>
                <w:rFonts w:ascii="Times New Roman" w:hAnsi="Times New Roman" w:cs="Times New Roman" w:eastAsia="Times New Roman"/>
                <w:sz w:val="20"/>
                <w:szCs w:val="20"/>
              </w:rPr>
              <w:t xml:space="preserve">0.248</w:t>
            </w:r>
          </w:p>
        </w:tc>
        <w:tc>
          <w:tcPr/>
          <w:p>
            <w:pPr>
              <w:pStyle w:val="Normal"/>
              <w:jc w:val="left"/>
              <w:spacing w:line="240" w:lineRule="auto" w:after="0"/>
            </w:pPr>
            <w:r>
              <w:rPr>
                <w:rFonts w:ascii="Times New Roman" w:hAnsi="Times New Roman" w:cs="Times New Roman" w:eastAsia="Times New Roman"/>
                <w:sz w:val="20"/>
                <w:szCs w:val="20"/>
              </w:rPr>
              <w:t xml:space="preserve">45.4%</w:t>
            </w:r>
          </w:p>
        </w:tc>
        <w:tc>
          <w:tcPr/>
          <w:p>
            <w:pPr>
              <w:pStyle w:val="Normal"/>
              <w:jc w:val="left"/>
              <w:spacing w:line="240" w:lineRule="auto" w:after="0"/>
            </w:pPr>
            <w:r>
              <w:rPr>
                <w:rFonts w:ascii="Times New Roman" w:hAnsi="Times New Roman" w:cs="Times New Roman" w:eastAsia="Times New Roman"/>
                <w:sz w:val="20"/>
                <w:szCs w:val="20"/>
              </w:rPr>
              <w:t xml:space="preserve">97.0%</w:t>
            </w:r>
          </w:p>
        </w:tc>
      </w:tr>
      <w:tr>
        <w:tc>
          <w:tcPr/>
          <w:p>
            <w:pPr>
              <w:pStyle w:val="Normal"/>
              <w:jc w:val="left"/>
              <w:spacing w:line="240" w:lineRule="auto" w:after="0"/>
            </w:pPr>
            <w:r>
              <w:rPr>
                <w:rFonts w:ascii="Times New Roman" w:hAnsi="Times New Roman" w:cs="Times New Roman" w:eastAsia="Times New Roman"/>
                <w:sz w:val="20"/>
                <w:szCs w:val="20"/>
              </w:rPr>
              <w:t xml:space="preserve">KOTHA (fixed alpha = 0.3)</w:t>
            </w:r>
          </w:p>
        </w:tc>
        <w:tc>
          <w:tcPr/>
          <w:p>
            <w:pPr>
              <w:pStyle w:val="Normal"/>
              <w:jc w:val="left"/>
              <w:spacing w:line="240" w:lineRule="auto" w:after="0"/>
            </w:pPr>
            <w:r>
              <w:rPr>
                <w:rFonts w:ascii="Times New Roman" w:hAnsi="Times New Roman" w:cs="Times New Roman" w:eastAsia="Times New Roman"/>
                <w:sz w:val="20"/>
                <w:szCs w:val="20"/>
              </w:rPr>
              <w:t xml:space="preserve">-0.039</w:t>
            </w:r>
          </w:p>
        </w:tc>
        <w:tc>
          <w:tcPr/>
          <w:p>
            <w:pPr>
              <w:pStyle w:val="Normal"/>
              <w:jc w:val="left"/>
              <w:spacing w:line="240" w:lineRule="auto" w:after="0"/>
            </w:pPr>
            <w:r>
              <w:rPr>
                <w:rFonts w:ascii="Times New Roman" w:hAnsi="Times New Roman" w:cs="Times New Roman" w:eastAsia="Times New Roman"/>
                <w:sz w:val="20"/>
                <w:szCs w:val="20"/>
              </w:rPr>
              <w:t xml:space="preserve">0.101</w:t>
            </w:r>
          </w:p>
        </w:tc>
        <w:tc>
          <w:tcPr/>
          <w:p>
            <w:pPr>
              <w:pStyle w:val="Normal"/>
              <w:jc w:val="left"/>
              <w:spacing w:line="240" w:lineRule="auto" w:after="0"/>
            </w:pPr>
            <w:r>
              <w:rPr>
                <w:rFonts w:ascii="Times New Roman" w:hAnsi="Times New Roman" w:cs="Times New Roman" w:eastAsia="Times New Roman"/>
                <w:sz w:val="20"/>
                <w:szCs w:val="20"/>
              </w:rPr>
              <w:t xml:space="preserve">85.2%</w:t>
            </w:r>
          </w:p>
        </w:tc>
        <w:tc>
          <w:tcPr/>
          <w:p>
            <w:pPr>
              <w:pStyle w:val="Normal"/>
              <w:jc w:val="left"/>
              <w:spacing w:line="240" w:lineRule="auto" w:after="0"/>
            </w:pPr>
            <w:r>
              <w:rPr>
                <w:rFonts w:ascii="Times New Roman" w:hAnsi="Times New Roman" w:cs="Times New Roman" w:eastAsia="Times New Roman"/>
                <w:sz w:val="20"/>
                <w:szCs w:val="20"/>
              </w:rPr>
              <w:t xml:space="preserve">87.2%</w:t>
            </w:r>
          </w:p>
        </w:tc>
      </w:tr>
      <w:tr>
        <w:tc>
          <w:tcPr/>
          <w:p>
            <w:pPr>
              <w:pStyle w:val="Normal"/>
              <w:jc w:val="left"/>
              <w:spacing w:line="240" w:lineRule="auto" w:after="0"/>
            </w:pPr>
            <w:r>
              <w:rPr>
                <w:rFonts w:ascii="Times New Roman" w:hAnsi="Times New Roman" w:cs="Times New Roman" w:eastAsia="Times New Roman"/>
                <w:sz w:val="20"/>
                <w:szCs w:val="20"/>
              </w:rPr>
              <w:t xml:space="preserve">KOTHA (RMSE-optimal alpha = 0.1)</w:t>
            </w:r>
          </w:p>
        </w:tc>
        <w:tc>
          <w:tcPr/>
          <w:p>
            <w:pPr>
              <w:pStyle w:val="Normal"/>
              <w:jc w:val="left"/>
              <w:spacing w:line="240" w:lineRule="auto" w:after="0"/>
            </w:pPr>
            <w:r>
              <w:rPr>
                <w:rFonts w:ascii="Times New Roman" w:hAnsi="Times New Roman" w:cs="Times New Roman" w:eastAsia="Times New Roman"/>
                <w:sz w:val="20"/>
                <w:szCs w:val="20"/>
              </w:rPr>
              <w:t xml:space="preserve">+0.024</w:t>
            </w:r>
          </w:p>
        </w:tc>
        <w:tc>
          <w:tcPr/>
          <w:p>
            <w:pPr>
              <w:pStyle w:val="Normal"/>
              <w:jc w:val="left"/>
              <w:spacing w:line="240" w:lineRule="auto" w:after="0"/>
            </w:pPr>
            <w:r>
              <w:rPr>
                <w:rFonts w:ascii="Times New Roman" w:hAnsi="Times New Roman" w:cs="Times New Roman" w:eastAsia="Times New Roman"/>
                <w:sz w:val="20"/>
                <w:szCs w:val="20"/>
              </w:rPr>
              <w:t xml:space="preserve">0.092</w:t>
            </w:r>
          </w:p>
        </w:tc>
        <w:tc>
          <w:tcPr/>
          <w:p>
            <w:pPr>
              <w:pStyle w:val="Normal"/>
              <w:jc w:val="left"/>
              <w:spacing w:line="240" w:lineRule="auto" w:after="0"/>
            </w:pPr>
            <w:r>
              <w:rPr>
                <w:rFonts w:ascii="Times New Roman" w:hAnsi="Times New Roman" w:cs="Times New Roman" w:eastAsia="Times New Roman"/>
                <w:sz w:val="20"/>
                <w:szCs w:val="20"/>
              </w:rPr>
              <w:t xml:space="preserve">89.8%</w:t>
            </w:r>
          </w:p>
        </w:tc>
        <w:tc>
          <w:tcPr/>
          <w:p>
            <w:pPr>
              <w:pStyle w:val="Normal"/>
              <w:jc w:val="left"/>
              <w:spacing w:line="240" w:lineRule="auto" w:after="0"/>
            </w:pPr>
            <w:r>
              <w:rPr>
                <w:rFonts w:ascii="Times New Roman" w:hAnsi="Times New Roman" w:cs="Times New Roman" w:eastAsia="Times New Roman"/>
                <w:sz w:val="20"/>
                <w:szCs w:val="20"/>
              </w:rPr>
              <w:t xml:space="preserve">70.0%</w:t>
            </w:r>
          </w:p>
        </w:tc>
      </w:tr>
    </w:tbl>
    <w:p>
      <w:pPr>
        <w:jc w:val="center"/>
      </w:pPr>
      <w:r>
        <w:drawing>
          <wp:inline xmlns:a="http://schemas.openxmlformats.org/drawingml/2006/main" xmlns:pic="http://schemas.openxmlformats.org/drawingml/2006/picture">
            <wp:extent cx="5029200" cy="3856528"/>
            <wp:docPr id="8" name="Picture 8"/>
            <wp:cNvGraphicFramePr>
              <a:graphicFrameLocks noChangeAspect="1"/>
            </wp:cNvGraphicFramePr>
            <a:graphic>
              <a:graphicData uri="http://schemas.openxmlformats.org/drawingml/2006/picture">
                <pic:pic>
                  <pic:nvPicPr>
                    <pic:cNvPr id="0" name="fig_simulation_operating_characteristics.png"/>
                    <pic:cNvPicPr/>
                  </pic:nvPicPr>
                  <pic:blipFill>
                    <a:blip r:embed="rId17"/>
                    <a:stretch>
                      <a:fillRect/>
                    </a:stretch>
                  </pic:blipFill>
                  <pic:spPr>
                    <a:xfrm>
                      <a:off x="0" y="0"/>
                      <a:ext cx="5029200" cy="3856528"/>
                    </a:xfrm>
                    <a:prstGeom prst="rect"/>
                  </pic:spPr>
                </pic:pic>
              </a:graphicData>
            </a:graphic>
          </wp:inline>
        </w:drawing>
      </w:r>
    </w:p>
    <w:p>
      <w:pPr>
        <w:jc w:val="left"/>
      </w:pPr>
      <w:r>
        <w:rPr>
          <w:rFonts w:ascii="Times New Roman" w:hAnsi="Times New Roman"/>
          <w:b/>
          <w:sz w:val="20"/>
        </w:rPr>
        <w:t xml:space="preserve">Figure 8. </w:t>
      </w:r>
      <w:r>
        <w:rPr>
          <w:rFonts w:ascii="Times New Roman" w:hAnsi="Times New Roman"/>
          <w:sz w:val="20"/>
        </w:rPr>
        <w:t>Operating characteristics of the simulation study. (A) Bias and RMSE for the target, RCT-enrolled-only, observational-only, fixed KOTHA (alpha = 0.3), and RMSE-optimal KOTHA estimators. (B) Coverage and power. Error bars in A show RMSE around the bias estimate; coverage and power are empirical proportions across replications.</w:t>
      </w:r>
    </w:p>
    <w:p>
      <w:pPr>
        <w:pStyle w:val="Heading2"/>
      </w:pPr>
      <w:r>
        <w:rPr>
          <w:rFonts w:ascii="Times New Roman" w:hAnsi="Times New Roman"/>
          <w:b/>
          <w:color w:val="000000"/>
          <w:sz w:val="24"/>
        </w:rPr>
        <w:t>4. Discussion</w:t>
      </w:r>
    </w:p>
    <w:p>
      <w:pPr>
        <w:pStyle w:val="Heading3"/>
      </w:pPr>
      <w:r>
        <w:rPr>
          <w:rFonts w:ascii="Times New Roman" w:hAnsi="Times New Roman"/>
          <w:b/>
          <w:color w:val="000000"/>
          <w:sz w:val="24"/>
        </w:rPr>
        <w:t>Principal findings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integrates counterfactual power simulation, Bayesian evidence synthesis, and structured GRADE interpretation to diagnose structural information loss in RCT meta-analyses. In the magnesium case, Module K identified an 18% relative decline in control event rates from the pre-thrombolysis era to ISIS-4. The divergence between pre-ISIS-4 and all-trials estimates is more consistent with era-dependent treatment effect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than with underpowering alone. In the statins case, Module K showed that RCT populations had roughly half the event rate of observational cohorts, and that power for a modest effect (HR = 0.85) dropped from 98% to 83%. Module T showed that even modest borrowing from observational evidence materially raised the posterior probability of benefit, yet the evidence remained uncertain. Module H classified magnesium as inconclusive with serious inconsistency (heterogeneity), and statins as inconclusive with serious indirectness, rather than "evidence of no effect."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simulation study formalizes the mechanism behind these empirical patterns. Under a transparent generative model with risk-dependent treatment effects and selective low-risk enrollment, the RCT-enrolled-only meta-analysis was biased toward the null and underpowered, while the observational-only estimate was biased toward spurious benefit. KOTHA with a fixed discount of</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reduced RMSE by 37% and increased power by 63 percentage points compared with RCT-enrolled-only analysis. These gains show that, in this stylized setting, the power-prior combination rule can improve operating characteristics when observational data contain relevant information that RCT enrollment discards and are appropriately down-weighted.</w:t>
      </w:r>
    </w:p>
    <w:p>
      <w:pPr>
        <w:pStyle w:val="Heading3"/>
      </w:pPr>
      <w:r>
        <w:rPr>
          <w:rFonts w:ascii="Times New Roman" w:hAnsi="Times New Roman"/>
          <w:b/>
          <w:color w:val="000000"/>
          <w:sz w:val="24"/>
        </w:rPr>
        <w:t>Implications for clinical trial design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can also be used prospectively. Before a trial is conducted, investigators can use published or registry-derived event rates for the target population (S1), for the population expected to enroll under current eligibility criteria (S2), and for an enriched design (S3). This comparison can inform four design decisions: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Sample size</w:t>
      </w:r>
      <w:r>
        <w:rPr>
          <w:rFonts w:ascii="Times New Roman" w:hAnsi="Times New Roman" w:cs="Times New Roman" w:eastAsia="Times New Roman"/>
          <w:sz w:val="24"/>
          <w:szCs w:val="24"/>
        </w:rPr>
        <w:t xml:space="preserve">: required N can be calculated under S2 and S3 rather than under an assumed event rate that may not materialize.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Eligibility criteria</w:t>
      </w:r>
      <w:r>
        <w:rPr>
          <w:rFonts w:ascii="Times New Roman" w:hAnsi="Times New Roman" w:cs="Times New Roman" w:eastAsia="Times New Roman"/>
          <w:sz w:val="24"/>
          <w:szCs w:val="24"/>
        </w:rPr>
        <w:t xml:space="preserve">: the information cost of excluding high-risk subgroups can be quantified and balanced against safety considerations.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Enrichment thresholds</w:t>
      </w:r>
      <w:r>
        <w:rPr>
          <w:rFonts w:ascii="Times New Roman" w:hAnsi="Times New Roman" w:cs="Times New Roman" w:eastAsia="Times New Roman"/>
          <w:sz w:val="24"/>
          <w:szCs w:val="24"/>
        </w:rPr>
        <w:t xml:space="preserve">: a minimum proportion of high-risk patients can be prespecified and powered.</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Endpoints and follow-up</w:t>
      </w:r>
      <w:r>
        <w:rPr>
          <w:rFonts w:ascii="Times New Roman" w:hAnsi="Times New Roman" w:cs="Times New Roman" w:eastAsia="Times New Roman"/>
          <w:sz w:val="24"/>
          <w:szCs w:val="24"/>
        </w:rPr>
        <w:t xml:space="preserve">: when the primary event rate is diluted, composite endpoints or longer follow-up can be evaluated.</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This reframes the design question: sample size should be based on the event rate the enrolled population will actually show, not only on a hypothesized effect.</w:t>
      </w:r>
    </w:p>
    <w:p>
      <w:pPr>
        <w:pStyle w:val="Heading3"/>
      </w:pPr>
      <w:r>
        <w:rPr>
          <w:rFonts w:ascii="Times New Roman" w:hAnsi="Times New Roman"/>
          <w:b/>
          <w:color w:val="000000"/>
          <w:sz w:val="24"/>
        </w:rPr>
        <w:t>Comparison with existing methods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Target trial emulation uses observational data to mimic a specific RCT in order to estimate a causal effect </w:t>
      </w:r>
      <w:r>
        <w:rPr>
          <w:rFonts w:ascii="Times New Roman" w:hAnsi="Times New Roman" w:cs="Times New Roman" w:eastAsia="Times New Roman"/>
          <w:sz w:val="24"/>
          <w:szCs w:val="24"/>
          <w:vertAlign w:val="superscript"/>
        </w:rPr>
        <w:t xml:space="preserve">[27-28]</w:t>
      </w:r>
      <w:r>
        <w:rPr>
          <w:rFonts w:ascii="Times New Roman" w:hAnsi="Times New Roman" w:cs="Times New Roman" w:eastAsia="Times New Roman"/>
          <w:sz w:val="24"/>
          <w:szCs w:val="24"/>
        </w:rPr>
        <w:t xml:space="preserve">. Module K is complementary: it does not estimate effects but quantifies the information lost due to enrollment decisions. Existing methods for combining RCT and observational evidence include hierarchical models, power priors, and meta-analytic-predictive priors </w:t>
      </w:r>
      <w:r>
        <w:rPr>
          <w:rFonts w:ascii="Times New Roman" w:hAnsi="Times New Roman" w:cs="Times New Roman" w:eastAsia="Times New Roman"/>
          <w:sz w:val="24"/>
          <w:szCs w:val="24"/>
          <w:vertAlign w:val="superscript"/>
        </w:rPr>
        <w:t xml:space="preserve">[29-31]</w:t>
      </w:r>
      <w:r>
        <w:rPr>
          <w:rFonts w:ascii="Times New Roman" w:hAnsi="Times New Roman" w:cs="Times New Roman" w:eastAsia="Times New Roman"/>
          <w:sz w:val="24"/>
          <w:szCs w:val="24"/>
        </w:rPr>
        <w:t xml:space="preserve">. Module T builds on these but embeds them in a broader workflow that first diagnoses the need for integration and then interprets the result through Module H. TSA and OIS are well established </w:t>
      </w:r>
      <w:r>
        <w:rPr>
          <w:rFonts w:ascii="Times New Roman" w:hAnsi="Times New Roman" w:cs="Times New Roman" w:eastAsia="Times New Roman"/>
          <w:sz w:val="24"/>
          <w:szCs w:val="24"/>
          <w:vertAlign w:val="superscript"/>
        </w:rPr>
        <w:t xml:space="preserve">[6-9]</w:t>
      </w:r>
      <w:r>
        <w:rPr>
          <w:rFonts w:ascii="Times New Roman" w:hAnsi="Times New Roman" w:cs="Times New Roman" w:eastAsia="Times New Roman"/>
          <w:sz w:val="24"/>
          <w:szCs w:val="24"/>
        </w:rPr>
        <w:t xml:space="preserve">, but are not routinely used to quantify risk-profile shifts. GRADE provides domains for assessment </w:t>
      </w:r>
      <w:r>
        <w:rPr>
          <w:rFonts w:ascii="Times New Roman" w:hAnsi="Times New Roman" w:cs="Times New Roman" w:eastAsia="Times New Roman"/>
          <w:sz w:val="24"/>
          <w:szCs w:val="24"/>
          <w:vertAlign w:val="superscript"/>
        </w:rPr>
        <w:t xml:space="preserve">[1]</w:t>
      </w:r>
      <w:r>
        <w:rPr>
          <w:rFonts w:ascii="Times New Roman" w:hAnsi="Times New Roman" w:cs="Times New Roman" w:eastAsia="Times New Roman"/>
          <w:sz w:val="24"/>
          <w:szCs w:val="24"/>
        </w:rPr>
        <w:t xml:space="preserve">; KOTHA provides quantitative inputs to the imprecision and indirectness domains without changing GRADE's structure.</w:t>
      </w:r>
    </w:p>
    <w:p>
      <w:pPr>
        <w:pStyle w:val="Heading3"/>
      </w:pPr>
      <w:r>
        <w:rPr>
          <w:rFonts w:ascii="Times New Roman" w:hAnsi="Times New Roman"/>
          <w:b/>
          <w:color w:val="000000"/>
          <w:sz w:val="24"/>
        </w:rPr>
        <w:t>Strengths and limitations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framework is reproducible from published aggregate data, follows the ADEMP reporting structure </w:t>
      </w:r>
      <w:r>
        <w:rPr>
          <w:rFonts w:ascii="Times New Roman" w:hAnsi="Times New Roman" w:cs="Times New Roman" w:eastAsia="Times New Roman"/>
          <w:sz w:val="24"/>
          <w:szCs w:val="24"/>
          <w:vertAlign w:val="superscript"/>
        </w:rPr>
        <w:t xml:space="preserve">[10]</w:t>
      </w:r>
      <w:r>
        <w:rPr>
          <w:rFonts w:ascii="Times New Roman" w:hAnsi="Times New Roman" w:cs="Times New Roman" w:eastAsia="Times New Roman"/>
          <w:sz w:val="24"/>
          <w:szCs w:val="24"/>
        </w:rPr>
        <w:t xml:space="preserve">, and is illustrated with real, well-documented cases. The operating-characteristics simulation is transparent: parameters, generative process, and metrics are reported explicitly. It shows that the power-prior combination rule can improve estimation and power under the specified structural information loss. The modular design allows each component to be used independently.</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Limitations: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cases are retrospective applications of the framework to published aggregate data; individual patient data would strengthen risk-profile stratification and adjustment for confounders, and ecological bias may affect the representativeness assessment.</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For statins, the observational and RCT crude event proportions are aggregate study-level values, so the comparison is ecological and may not reflect within-individual risk differences.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hazard-ratio-to-odds-ratio approximation and the use of a crude event proportion (rather than an event rate per person-time) mean Module K estimates relative power loss across enrollment scenarios, not a definitive sample size for a specific follow-up.</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For statins, the S3 enrichment target is set at the midpoint between the observational and RCT crude proportions as an illustration; other thresholds would yield different power curves.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magnesium case spans the pre-thrombolysis and thrombolysis eras, so temporal changes in standard care, case mix, and outcome ascertainment create treatment-era confounding that cannot be fully controlled with aggregate data.</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Prospective validation against trials whose results are not yet known would be stronger.</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operating-characteristics simulation is intentionally stylized: it uses a single data-generating model with risk-dependent effects, one selection mechanism, and normal-approximation power priors. It demonstrates that KOTHA can improve operating characteristics under transparent assumptions, but it does not establish general optimality of any fixed discounting factor.</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Module T treats the discounting parameter</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as a fixed sensitivity parameter and is therefore sensitive to assumptions about residual confounding; we present the full grid of values but do not claim a single preferred</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magnesium case involves genuine treatment-effect heterogeneity across thrombolysis eras, which Module K identifies but cannot fully explain.</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Finally, adoption by guideline groups will require institutional change beyond the method itself.</w:t>
      </w:r>
    </w:p>
    <w:p>
      <w:pPr>
        <w:pStyle w:val="Heading2"/>
      </w:pPr>
      <w:r>
        <w:rPr>
          <w:rFonts w:ascii="Times New Roman" w:hAnsi="Times New Roman"/>
          <w:b/>
          <w:color w:val="000000"/>
          <w:sz w:val="24"/>
        </w:rPr>
        <w:t>5. Conclusions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(Knowledge-driven Observational-Trial Harmonization Approach) diagnoses structural information loss in RCT meta-analyses through counterfactual power simulation, hierarchical Bayesian evidence integration, and structured GRADE-compatible interpretation. Empirical application to magnesium in AMI and statins in heart failure shows that the framework can identify enrollment-driven event dilution, quantify its impact on statistical power, and produce more nuanced evidence assessments than standard approaches. By informing sample size, eligibility, enrichment, and endpoint decisions, KOTHA offers a reproducible design aid for future clinical trials.</w:t>
      </w:r>
    </w:p>
    <w:p>
      <w:pPr>
        <w:pStyle w:val="Heading2"/>
      </w:pPr>
      <w:r>
        <w:rPr>
          <w:rFonts w:ascii="Times New Roman" w:hAnsi="Times New Roman"/>
          <w:b/>
          <w:color w:val="000000"/>
          <w:sz w:val="24"/>
        </w:rPr>
        <w:t>Declarations</w:t>
      </w:r>
    </w:p>
    <w:p>
      <w:pPr>
        <w:pStyle w:val="Heading3"/>
      </w:pPr>
      <w:r>
        <w:rPr>
          <w:rFonts w:ascii="Times New Roman" w:hAnsi="Times New Roman"/>
          <w:b/>
          <w:color w:val="000000"/>
          <w:sz w:val="24"/>
        </w:rPr>
        <w:t>Ethics approval and consent to participate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study proposes a methodological framework and uses only published aggregate data.</w:t>
      </w:r>
    </w:p>
    <w:p>
      <w:pPr>
        <w:pStyle w:val="Heading3"/>
      </w:pPr>
      <w:r>
        <w:rPr>
          <w:rFonts w:ascii="Times New Roman" w:hAnsi="Times New Roman"/>
          <w:b/>
          <w:color w:val="000000"/>
          <w:sz w:val="24"/>
        </w:rPr>
        <w:t>Consent for publication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w:t>
      </w:r>
    </w:p>
    <w:p>
      <w:pPr>
        <w:pStyle w:val="Heading3"/>
      </w:pPr>
      <w:r>
        <w:rPr>
          <w:rFonts w:ascii="Times New Roman" w:hAnsi="Times New Roman"/>
          <w:b/>
          <w:color w:val="000000"/>
          <w:sz w:val="24"/>
        </w:rPr>
        <w:t>Availability of data and materials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All data are from published sources and are included in the repository (https://github.com/bougtoir/kotha-rct-decomposition). Python code that reproduces all results, tables, and figures is available in the same repository.</w:t>
      </w:r>
    </w:p>
    <w:p>
      <w:pPr>
        <w:pStyle w:val="Heading3"/>
      </w:pPr>
      <w:r>
        <w:rPr>
          <w:rFonts w:ascii="Times New Roman" w:hAnsi="Times New Roman"/>
          <w:b/>
          <w:color w:val="000000"/>
          <w:sz w:val="24"/>
        </w:rPr>
        <w:t>Trial registration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manuscript presents a methodological framework and retrospective case illustrations; no prospective clinical trial was conducted.</w:t>
      </w:r>
    </w:p>
    <w:p>
      <w:pPr>
        <w:pStyle w:val="Heading3"/>
      </w:pPr>
      <w:r>
        <w:rPr>
          <w:rFonts w:ascii="Times New Roman" w:hAnsi="Times New Roman"/>
          <w:b/>
          <w:color w:val="000000"/>
          <w:sz w:val="24"/>
        </w:rPr>
        <w:t>Declaration of competing interest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3"/>
      </w:pPr>
      <w:r>
        <w:rPr>
          <w:rFonts w:ascii="Times New Roman" w:hAnsi="Times New Roman"/>
          <w:b/>
          <w:color w:val="000000"/>
          <w:sz w:val="24"/>
        </w:rPr>
        <w:t>Funding source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3"/>
      </w:pPr>
      <w:r>
        <w:rPr>
          <w:rFonts w:ascii="Times New Roman" w:hAnsi="Times New Roman"/>
          <w:b/>
          <w:color w:val="000000"/>
          <w:sz w:val="24"/>
        </w:rPr>
        <w:t>Authors' contributions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3"/>
      </w:pPr>
      <w:r>
        <w:rPr>
          <w:rFonts w:ascii="Times New Roman" w:hAnsi="Times New Roman"/>
          <w:b/>
          <w:color w:val="000000"/>
          <w:sz w:val="24"/>
        </w:rPr>
        <w:t>Acknowledgements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2"/>
      </w:pPr>
      <w:r>
        <w:rPr>
          <w:rFonts w:ascii="Times New Roman" w:hAnsi="Times New Roman"/>
          <w:b/>
          <w:color w:val="000000"/>
          <w:sz w:val="24"/>
        </w:rPr>
        <w:t>References</w:t>
      </w:r>
    </w:p>
    <w:p>
      <w:r>
        <w:rPr>
          <w:rFonts w:ascii="Times New Roman" w:hAnsi="Times New Roman"/>
          <w:sz w:val="20"/>
        </w:rPr>
        <w:t>1. Guyatt GH, Oxman AD, Vist GE, et al. GRADE: an emerging consensus on rating quality of evidence and strength of recommendations. BMJ 2008; 336(7650): 924-6.</w:t>
      </w:r>
    </w:p>
    <w:p>
      <w:r>
        <w:rPr>
          <w:rFonts w:ascii="Times New Roman" w:hAnsi="Times New Roman"/>
          <w:sz w:val="20"/>
        </w:rPr>
        <w:t>2. Concato J, Shah N and Horwitz RI. Randomized, controlled trials, observational studies, and the hierarchy of research designs. N Engl J Med 2000; 342(25): 1887-92.</w:t>
      </w:r>
    </w:p>
    <w:p>
      <w:r>
        <w:rPr>
          <w:rFonts w:ascii="Times New Roman" w:hAnsi="Times New Roman"/>
          <w:sz w:val="20"/>
        </w:rPr>
        <w:t>3. Anglemyer A, Horvath HT and Bero L. Healthcare outcomes assessed with observational study designs compared with those assessed in randomized trials. Cochrane Database Syst Rev 2014; (4): MR000034.</w:t>
      </w:r>
    </w:p>
    <w:p>
      <w:r>
        <w:rPr>
          <w:rFonts w:ascii="Times New Roman" w:hAnsi="Times New Roman"/>
          <w:sz w:val="20"/>
        </w:rPr>
        <w:t>4. Kennedy-Martin T, Curtis S, Faries D, et al. A literature review on the representativeness of randomized controlled trial samples and implications for the external validity of trial results. Trials 2015; 16: 495.</w:t>
      </w:r>
    </w:p>
    <w:p>
      <w:r>
        <w:rPr>
          <w:rFonts w:ascii="Times New Roman" w:hAnsi="Times New Roman"/>
          <w:sz w:val="20"/>
        </w:rPr>
        <w:t>5. Rothwell PM. External validity of randomised controlled trials: "to whom do the results of this trial apply?" Lancet 2005; 365(9453): 82-93.</w:t>
      </w:r>
    </w:p>
    <w:p>
      <w:r>
        <w:rPr>
          <w:rFonts w:ascii="Times New Roman" w:hAnsi="Times New Roman"/>
          <w:sz w:val="20"/>
        </w:rPr>
        <w:t>6. Pogue JM and Yusuf S. Cumulating evidence from randomized trials: utilizing sequential monitoring boundaries for cumulative meta-analysis. Control Clin Trials 1997; 18(6): 580-93.</w:t>
      </w:r>
    </w:p>
    <w:p>
      <w:r>
        <w:rPr>
          <w:rFonts w:ascii="Times New Roman" w:hAnsi="Times New Roman"/>
          <w:sz w:val="20"/>
        </w:rPr>
        <w:t>7. Wetterslev J, Thorlund K, Brok J, et al. Estimating required information size by quantifying diversity in random-effects model meta-analyses. BMC Med Res Methodol 2009; 9: 86.</w:t>
      </w:r>
    </w:p>
    <w:p>
      <w:r>
        <w:rPr>
          <w:rFonts w:ascii="Times New Roman" w:hAnsi="Times New Roman"/>
          <w:sz w:val="20"/>
        </w:rPr>
        <w:t>8. Brok J, Thorlund K, Gluud C, et al. Trial sequential analysis reveals insufficient information size and potentially false positive results in many meta-analyses. J Clin Epidemiol 2008; 61(8): 763-9.</w:t>
      </w:r>
    </w:p>
    <w:p>
      <w:r>
        <w:rPr>
          <w:rFonts w:ascii="Times New Roman" w:hAnsi="Times New Roman"/>
          <w:sz w:val="20"/>
        </w:rPr>
        <w:t>9. Thorlund K, Engstrom J, Wetterslev J, et al. User manual for trial sequential analysis (TSA). Copenhagen Trial Unit, Centre for Clinical Intervention Research; 2011.</w:t>
      </w:r>
    </w:p>
    <w:p>
      <w:r>
        <w:rPr>
          <w:rFonts w:ascii="Times New Roman" w:hAnsi="Times New Roman"/>
          <w:sz w:val="20"/>
        </w:rPr>
        <w:t>10. Morris TP, White IR and Crowther MJ. Using simulation studies to evaluate statistical methods. Stat Med 2019; 38(11): 2074-102.</w:t>
      </w:r>
    </w:p>
    <w:p>
      <w:r>
        <w:rPr>
          <w:rFonts w:ascii="Times New Roman" w:hAnsi="Times New Roman"/>
          <w:sz w:val="20"/>
        </w:rPr>
        <w:t>11. Schoenfeld DA. Sample-size formula for the proportional-hazards regression model. Biometrics 1983; 39(2): 499-503.</w:t>
      </w:r>
    </w:p>
    <w:p>
      <w:r>
        <w:rPr>
          <w:rFonts w:ascii="Times New Roman" w:hAnsi="Times New Roman"/>
          <w:sz w:val="20"/>
        </w:rPr>
        <w:t>12. Ibrahim JG and Chen MH. Power prior distributions for regression models. Stat Sci 2000; 15(1): 46-60.</w:t>
      </w:r>
    </w:p>
    <w:p>
      <w:r>
        <w:rPr>
          <w:rFonts w:ascii="Times New Roman" w:hAnsi="Times New Roman"/>
          <w:sz w:val="20"/>
        </w:rPr>
        <w:t>13. McCaw ZR, Yin G and Wei LJ. Using the restricted mean survival time difference as an alternative to the hazard ratio for analyzing clinical cardiovascular studies. Circulation 2019; 140(17): 1366-8. doi:10.1161/CIRCULATIONAHA.119.040680.</w:t>
      </w:r>
    </w:p>
    <w:p>
      <w:r>
        <w:rPr>
          <w:rFonts w:ascii="Times New Roman" w:hAnsi="Times New Roman"/>
          <w:sz w:val="20"/>
        </w:rPr>
        <w:t>14. Boyd AP, Kittelson JM and Gillen DL. Estimation of treatment effect under non-proportional hazards and conditionally independent censoring. Stat Med 2012; 31(28): 3504-15. doi:10.1002/sim.5440.</w:t>
      </w:r>
    </w:p>
    <w:p>
      <w:r>
        <w:rPr>
          <w:rFonts w:ascii="Times New Roman" w:hAnsi="Times New Roman"/>
          <w:sz w:val="20"/>
        </w:rPr>
        <w:t>15. Sherry AD, Msaouel P, Kupferman GS, et al. Evidence-based prior for estimating the treatment effect of phase III randomized trials in oncology. JCO Precis Oncol 2024; 8: e2400363. doi:10.1200/PO.24.00363.</w:t>
      </w:r>
    </w:p>
    <w:p>
      <w:r>
        <w:rPr>
          <w:rFonts w:ascii="Times New Roman" w:hAnsi="Times New Roman"/>
          <w:sz w:val="20"/>
        </w:rPr>
        <w:t>16. Foreman-Mackey D, Hogg DW, Lang D, et al. emcee: the MCMC hammer. Publ Astron Soc Pac 2013; 125(925): 306-12.</w:t>
      </w:r>
    </w:p>
    <w:p>
      <w:r>
        <w:rPr>
          <w:rFonts w:ascii="Times New Roman" w:hAnsi="Times New Roman"/>
          <w:sz w:val="20"/>
        </w:rPr>
        <w:t>17. Teo KK, Yusuf S, Collins R, et al. Effects of intravenous magnesium in suspected acute myocardial infarction: overview of randomised trials. BMJ 1991; 303(6816): 1499-503.</w:t>
      </w:r>
    </w:p>
    <w:p>
      <w:r>
        <w:rPr>
          <w:rFonts w:ascii="Times New Roman" w:hAnsi="Times New Roman"/>
          <w:sz w:val="20"/>
        </w:rPr>
        <w:t>18. Li J, Zhang Q, Zhang M, et al. Intravenous magnesium for acute myocardial infarction. Cochrane Database Syst Rev 2007; (2): CD002755.</w:t>
      </w:r>
    </w:p>
    <w:p>
      <w:r>
        <w:rPr>
          <w:rFonts w:ascii="Times New Roman" w:hAnsi="Times New Roman"/>
          <w:sz w:val="20"/>
        </w:rPr>
        <w:t>19. Anker SD, Clark AL, Winkler R, et al. Statin use and survival in patients with chronic heart failure -- results from two observational studies with 5200 patients. Int J Cardiol 2006; 112(2): 234-42.</w:t>
      </w:r>
    </w:p>
    <w:p>
      <w:r>
        <w:rPr>
          <w:rFonts w:ascii="Times New Roman" w:hAnsi="Times New Roman"/>
          <w:sz w:val="20"/>
        </w:rPr>
        <w:t>20. Mozaffarian D, Nye R and Levy WC. Statin therapy is associated with lower mortality among patients with severe heart failure. Am J Cardiol 2004; 93(9): 1124-9.</w:t>
      </w:r>
    </w:p>
    <w:p>
      <w:r>
        <w:rPr>
          <w:rFonts w:ascii="Times New Roman" w:hAnsi="Times New Roman"/>
          <w:sz w:val="20"/>
        </w:rPr>
        <w:t>21. Horwich TB, MacLellan WR and Fonarow GC. Statin therapy is associated with improved survival in ischemic and non-ischemic heart failure. J Am Coll Cardiol 2004; 43(4): 642-8.</w:t>
      </w:r>
    </w:p>
    <w:p>
      <w:r>
        <w:rPr>
          <w:rFonts w:ascii="Times New Roman" w:hAnsi="Times New Roman"/>
          <w:sz w:val="20"/>
        </w:rPr>
        <w:t>22. Go AS, Lee WY, Yang J, et al. Statin therapy and risks for death and hospitalization in chronic heart failure. JAMA 2006; 296(17): 2105-11.</w:t>
      </w:r>
    </w:p>
    <w:p>
      <w:r>
        <w:rPr>
          <w:rFonts w:ascii="Times New Roman" w:hAnsi="Times New Roman"/>
          <w:sz w:val="20"/>
        </w:rPr>
        <w:t>23. Foody JM, Shah R, Galusha D, et al. Statins and mortality among elderly patients hospitalized with heart failure. Circulation 2006; 113(8): 1086-92.</w:t>
      </w:r>
    </w:p>
    <w:p>
      <w:r>
        <w:rPr>
          <w:rFonts w:ascii="Times New Roman" w:hAnsi="Times New Roman"/>
          <w:sz w:val="20"/>
        </w:rPr>
        <w:t>24. Kjekshus J, Apetrei E, Barrios V, et al. Rosuvastatin in older patients with systolic heart failure. N Engl J Med 2007; 357(22): 2248-61.</w:t>
      </w:r>
    </w:p>
    <w:p>
      <w:r>
        <w:rPr>
          <w:rFonts w:ascii="Times New Roman" w:hAnsi="Times New Roman"/>
          <w:sz w:val="20"/>
        </w:rPr>
        <w:t>25. GISSI-HF Investigators. Effect of rosuvastatin in patients with chronic heart failure (the GISSI-HF trial): a randomised, double-blind, placebo-controlled trial. Lancet 2008; 372(9645): 1231-9.</w:t>
      </w:r>
    </w:p>
    <w:p>
      <w:r>
        <w:rPr>
          <w:rFonts w:ascii="Times New Roman" w:hAnsi="Times New Roman"/>
          <w:sz w:val="20"/>
        </w:rPr>
        <w:t>26. DerSimonian R and Laird N. Meta-analysis in clinical trials. Control Clin Trials 1986; 7(3): 177-88.</w:t>
      </w:r>
    </w:p>
    <w:p>
      <w:r>
        <w:rPr>
          <w:rFonts w:ascii="Times New Roman" w:hAnsi="Times New Roman"/>
          <w:sz w:val="20"/>
        </w:rPr>
        <w:t>27. Hernan MA and Robins JM. Using big data to emulate a target trial when a randomized trial is not available. Am J Epidemiol 2016; 183(8): 758-64.</w:t>
      </w:r>
    </w:p>
    <w:p>
      <w:r>
        <w:rPr>
          <w:rFonts w:ascii="Times New Roman" w:hAnsi="Times New Roman"/>
          <w:sz w:val="20"/>
        </w:rPr>
        <w:t>28. Hernan MA, Wang W and Leaf DE. Target trial emulation: a framework for causal inference from observational data. JAMA 2022; 328(24): 2446-7.</w:t>
      </w:r>
    </w:p>
    <w:p>
      <w:r>
        <w:rPr>
          <w:rFonts w:ascii="Times New Roman" w:hAnsi="Times New Roman"/>
          <w:sz w:val="20"/>
        </w:rPr>
        <w:t>29. Schmidli H, Gsteiger S, Roychoudhury S, et al. Robust meta-analytic-predictive priors in clinical trials with historical control information. Biometrics 2014; 70(4): 1023-32.</w:t>
      </w:r>
    </w:p>
    <w:p>
      <w:r>
        <w:rPr>
          <w:rFonts w:ascii="Times New Roman" w:hAnsi="Times New Roman"/>
          <w:sz w:val="20"/>
        </w:rPr>
        <w:t>30. Verde PE and Ohmann C. Combining randomized and non-randomized evidence in clinical research: a review of methods and applications. Res Synth Methods 2015; 6(1): 45-62.</w:t>
      </w:r>
    </w:p>
    <w:p>
      <w:r>
        <w:rPr>
          <w:rFonts w:ascii="Times New Roman" w:hAnsi="Times New Roman"/>
          <w:sz w:val="20"/>
        </w:rPr>
        <w:t>31. Efthimiou O, Mavridis D, Debray TPA, et al. Combining randomized and non-randomized evidence in network meta-analysis. Stat Med 2017; 36(8): 1210-26.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szCs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