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 xmlns:a="http://schemas.openxmlformats.org/drawingml/2006/main" xmlns:pic="http://schemas.openxmlformats.org/drawingml/2006/picture">
      <w:tblPr>
        <w:tblStyle w:val="Table Grid"/>
        <w:tblW w:type="pct" w:w="5000"/>
        <w:tblLayout w:type="fixed"/>
        <w:tblLook w:firstRow="1" w:lastRow="0" w:firstColumn="0" w:lastColumn="0" w:noHBand="0" w:noVBand="0" w:val="0020"/>
        <w:jc w:val="center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Abbreviation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Definition</w:t>
            </w:r>
          </w:p>
        </w:tc>
      </w:tr>
      <w:tr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ADEMP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Aims, Data-generating mechanisms, Estimands, Methods, Performance measures</w:t>
            </w:r>
          </w:p>
        </w:tc>
      </w:tr>
      <w:tr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AMI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Acute myocardial infarction</w:t>
            </w:r>
          </w:p>
        </w:tc>
      </w:tr>
      <w:tr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CrI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Credible interval</w:t>
            </w:r>
          </w:p>
        </w:tc>
      </w:tr>
      <w:tr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CI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Confidence interval</w:t>
            </w:r>
          </w:p>
        </w:tc>
      </w:tr>
      <w:tr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EBM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Evidence-based medicine</w:t>
            </w:r>
          </w:p>
        </w:tc>
      </w:tr>
      <w:tr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GRADE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Grading of Recommendations Assessment, Development and Evaluation</w:t>
            </w:r>
          </w:p>
        </w:tc>
      </w:tr>
      <w:tr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HF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Heart failure</w:t>
            </w:r>
          </w:p>
        </w:tc>
      </w:tr>
      <w:tr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HR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Hazard ratio</w:t>
            </w:r>
          </w:p>
        </w:tc>
      </w:tr>
      <w:tr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KOTHA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Knowledge-driven Observational-Trial Harmonization Approach</w:t>
            </w:r>
          </w:p>
        </w:tc>
      </w:tr>
      <w:tr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MCMC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Markov chain Monte Carlo</w:t>
            </w:r>
          </w:p>
        </w:tc>
      </w:tr>
      <w:tr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OIS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Optimal information size</w:t>
            </w:r>
          </w:p>
        </w:tc>
      </w:tr>
      <w:tr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OR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Odds ratio</w:t>
            </w:r>
          </w:p>
        </w:tc>
      </w:tr>
      <w:tr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RCT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Randomized controlled trial</w:t>
            </w:r>
          </w:p>
        </w:tc>
      </w:tr>
      <w:tr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TSA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Trial sequential analysis</w:t>
            </w:r>
          </w:p>
        </w:tc>
      </w:tr>
    </w:tbl>
    <w:tbl xmlns:a="http://schemas.openxmlformats.org/drawingml/2006/main" xmlns:pic="http://schemas.openxmlformats.org/drawingml/2006/picture">
      <w:tblPr>
        <w:tblStyle w:val="Table Grid"/>
        <w:tblW w:type="pct" w:w="5000"/>
        <w:tblLayout w:type="fixed"/>
        <w:tblLook w:firstRow="1" w:lastRow="0" w:firstColumn="0" w:lastColumn="0" w:noHBand="0" w:noVBand="0" w:val="0020"/>
        <w:jc w:val="center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Approach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Mechanism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Adoption level</w:t>
            </w:r>
          </w:p>
        </w:tc>
      </w:tr>
      <w:tr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Stratified randomization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Risk-based stratification of randomization and analysis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Common for basic strata; rare for event-rate-driven strata</w:t>
            </w:r>
          </w:p>
        </w:tc>
      </w:tr>
      <w:tr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Prognostic enrichment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Intentional enrollment of high-risk patients to increase event rates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Endorsed by FDA and EMA guidance; limited in non-drug trials</w:t>
            </w:r>
          </w:p>
        </w:tc>
      </w:tr>
      <w:tr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Event-driven design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Continue enrollment/follow-up until target event count is reached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Common in cardiology and oncology; rare in other specialties</w:t>
            </w:r>
          </w:p>
        </w:tc>
      </w:tr>
      <w:tr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Adaptive sample size re-estimation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Mid-trial re-estimation of required sample size based on observed event rates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Statistically powerful; regulatory complexity limits adoption</w:t>
            </w:r>
          </w:p>
        </w:tc>
      </w:tr>
      <w:tr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External data-informed design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Use retrospective data to quantify expected event loss and adjust design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Ideal but very rare in practice</w:t>
            </w:r>
          </w:p>
        </w:tc>
      </w:tr>
      <w:tr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Pragmatic / registry-based trials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Broad eligibility, minimal exclusions, real-world enrollment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Growing (e.g., REMAP-CAP, RECOVERY) but not yet standard</w:t>
            </w:r>
          </w:p>
        </w:tc>
      </w:tr>
    </w:tbl>
    <w:tbl xmlns:a="http://schemas.openxmlformats.org/drawingml/2006/main" xmlns:pic="http://schemas.openxmlformats.org/drawingml/2006/picture">
      <w:tblPr>
        <w:tblStyle w:val="Table Grid"/>
        <w:tblW w:type="pct" w:w="5000"/>
        <w:tblLayout w:type="fixed"/>
        <w:tblLook w:firstRow="1" w:lastRow="0" w:firstColumn="0" w:lastColumn="0" w:noHBand="0" w:noVBand="0" w:val="0020"/>
        <w:jc w:val="center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Module H assessment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GRADE domain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Analytical tool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Decision criterion</w:t>
            </w:r>
          </w:p>
        </w:tc>
      </w:tr>
      <w:tr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Information sufficiency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Imprecision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OIS calculation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Total events &lt; OIS: informationally insufficient</w:t>
            </w:r>
          </w:p>
        </w:tc>
      </w:tr>
      <w:tr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CI assessment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Imprecision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CI inspection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CI spans benefit through null: inconclusive</w:t>
            </w:r>
          </w:p>
        </w:tc>
      </w:tr>
      <w:tr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Representativeness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Indirectness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Module K event rate ratio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Event rate ratio &gt; 1.5 or &lt; 0.67: indirectness concern</w:t>
            </w:r>
          </w:p>
        </w:tc>
      </w:tr>
      <w:tr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TSA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Imprecision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Sequential monitoring boundaries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Boundaries not crossed: interim analysis equivalent</w:t>
            </w:r>
          </w:p>
        </w:tc>
      </w:tr>
      <w:tr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Recommendation language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Overall assessment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Standardized templates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Tailored to information sufficiency classification</w:t>
            </w:r>
          </w:p>
        </w:tc>
      </w:tr>
    </w:tbl>
    <w:tbl xmlns:a="http://schemas.openxmlformats.org/drawingml/2006/main" xmlns:pic="http://schemas.openxmlformats.org/drawingml/2006/picture">
      <w:tblPr>
        <w:tblStyle w:val="Table Grid"/>
        <w:tblW w:type="pct" w:w="5000"/>
        <w:tblLayout w:type="fixed"/>
        <w:tblLook w:firstRow="1" w:lastRow="0" w:firstColumn="0" w:lastColumn="0" w:noHBand="0" w:noVBand="0" w:val="0020"/>
        <w:jc w:val="center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Study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Year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Era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Events (Mg)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N (Mg)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Events (Ctrl)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N (Ctrl)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Control rate</w:t>
            </w:r>
          </w:p>
        </w:tc>
      </w:tr>
      <w:tr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Morton 1984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1984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Pre-thrombolysis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40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2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36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5.6%</w:t>
            </w:r>
          </w:p>
        </w:tc>
      </w:tr>
      <w:tr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Rasmussen 1986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1986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Pre-thrombolysis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56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9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79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11.4%</w:t>
            </w:r>
          </w:p>
        </w:tc>
      </w:tr>
      <w:tr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Smith 1986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1986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Pre-thrombolysis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2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200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7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200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3.5%</w:t>
            </w:r>
          </w:p>
        </w:tc>
      </w:tr>
      <w:tr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Abraham 1987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1987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Pre-thrombolysis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48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46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2.2%</w:t>
            </w:r>
          </w:p>
        </w:tc>
      </w:tr>
      <w:tr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Ceremuzynski 1989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1989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Pre-thrombolysis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25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3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23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13.0%</w:t>
            </w:r>
          </w:p>
        </w:tc>
      </w:tr>
      <w:tr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Shechter 1990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1990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Pre-thrombolysis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50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9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53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17.0%</w:t>
            </w:r>
          </w:p>
        </w:tc>
      </w:tr>
      <w:tr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Singh 1990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1990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Pre-thrombolysis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6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39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11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37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29.7%</w:t>
            </w:r>
          </w:p>
        </w:tc>
      </w:tr>
      <w:tr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Feldstedt 1991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1991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Transition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4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100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7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100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7.0%</w:t>
            </w:r>
          </w:p>
        </w:tc>
      </w:tr>
      <w:tr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Schechter 1991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1991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Transition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59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2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57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3.5%</w:t>
            </w:r>
          </w:p>
        </w:tc>
      </w:tr>
      <w:tr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LIMIT-2 1992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1992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Thrombolysis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90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1,159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118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1,157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10.2%</w:t>
            </w:r>
          </w:p>
        </w:tc>
      </w:tr>
      <w:tr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Shechter 1995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1995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Thrombolysis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4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107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17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108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15.7%</w:t>
            </w:r>
          </w:p>
        </w:tc>
      </w:tr>
      <w:tr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ISIS-4 1995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1995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Thrombolysis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2216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29,011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2103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29,039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7.2%</w:t>
            </w:r>
          </w:p>
        </w:tc>
      </w:tr>
    </w:tbl>
    <w:tbl xmlns:a="http://schemas.openxmlformats.org/drawingml/2006/main" xmlns:pic="http://schemas.openxmlformats.org/drawingml/2006/picture">
      <w:tblPr>
        <w:tblStyle w:val="Table Grid"/>
        <w:tblW w:type="auto" w:w="0"/>
        <w:tblLook w:firstRow="1" w:lastRow="0" w:firstColumn="0" w:lastColumn="0" w:noHBand="0" w:noVBand="0" w:val="0020"/>
        <w:jc w:val="center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Study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Design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HR (95% CI)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N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Events</w:t>
            </w:r>
          </w:p>
        </w:tc>
      </w:tr>
      <w:tr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Mozaffarian 2004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OBS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0.62 (0.49–0.78)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1,153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356</w:t>
            </w:r>
          </w:p>
        </w:tc>
      </w:tr>
      <w:tr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Horwich 2004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OBS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0.59 (0.44–0.78)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551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189</w:t>
            </w:r>
          </w:p>
        </w:tc>
      </w:tr>
      <w:tr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Go 2006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OBS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0.69 (0.63–0.75)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24,598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5,765</w:t>
            </w:r>
          </w:p>
        </w:tc>
      </w:tr>
      <w:tr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Foody 2006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OBS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0.82 (0.79–0.85)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54,960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16,573</w:t>
            </w:r>
          </w:p>
        </w:tc>
      </w:tr>
      <w:tr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Anker 2006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OBS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0.75 (0.66–0.85)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10,510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2,890</w:t>
            </w:r>
          </w:p>
        </w:tc>
      </w:tr>
      <w:tr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CORONA 2007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RCT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0.95 (0.86–1.05)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5,011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728</w:t>
            </w:r>
          </w:p>
        </w:tc>
      </w:tr>
      <w:tr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GISSI-HF 2008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RCT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1.00 (0.90–1.12)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4,574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657</w:t>
            </w:r>
          </w:p>
        </w:tc>
      </w:tr>
    </w:tbl>
    <w:tbl xmlns:a="http://schemas.openxmlformats.org/drawingml/2006/main" xmlns:pic="http://schemas.openxmlformats.org/drawingml/2006/picture">
      <w:tblPr>
        <w:tblStyle w:val="Table Grid"/>
        <w:tblW w:type="auto" w:w="0"/>
        <w:tblLook w:firstRow="1" w:lastRow="0" w:firstColumn="0" w:lastColumn="0" w:noHBand="0" w:noVBand="0" w:val="0020"/>
        <w:jc w:val="center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Normal"/>
              <w:spacing w:line="240" w:lineRule="auto" w:after="0"/>
            </w:pPr>
            <m:oMath>
              <m:r>
                <m:t>α</m:t>
              </m:r>
            </m:oMath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​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OR (95% CrI)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P(OR &lt; 1)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P(OR &lt; 0.90)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P(OR &lt; 0.80)</w:t>
            </w:r>
          </w:p>
        </w:tc>
      </w:tr>
      <w:tr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0.0 (ISIS-4 only)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1.11 (0.43–7.03)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30.6%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22.2%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16.2%</w:t>
            </w:r>
          </w:p>
        </w:tc>
      </w:tr>
      <w:tr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0.1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1.00 (0.31–3.51)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50.7%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36.6%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27.9%</w:t>
            </w:r>
          </w:p>
        </w:tc>
      </w:tr>
      <w:tr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0.2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0.85 (0.31–2.50)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66.5%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55.0%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45.8%</w:t>
            </w:r>
          </w:p>
        </w:tc>
      </w:tr>
      <w:tr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0.3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0.73 (0.28–2.09)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77.0%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66.3%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56.9%</w:t>
            </w:r>
          </w:p>
        </w:tc>
      </w:tr>
      <w:tr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0.5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0.61 (0.28–1.30)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92.6%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87.3%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77.1%</w:t>
            </w:r>
          </w:p>
        </w:tc>
      </w:tr>
      <w:tr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0.7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0.57 (0.29–1.05)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96.6%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94.1%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87.4%</w:t>
            </w:r>
          </w:p>
        </w:tc>
      </w:tr>
      <w:tr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1.0 (full weight)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0.54 (0.32–0.91)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98.7%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97.2%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93.5%</w:t>
            </w:r>
          </w:p>
        </w:tc>
      </w:tr>
    </w:tbl>
    <w:tbl xmlns:a="http://schemas.openxmlformats.org/drawingml/2006/main" xmlns:pic="http://schemas.openxmlformats.org/drawingml/2006/picture">
      <w:tblPr>
        <w:tblStyle w:val="Table Grid"/>
        <w:tblW w:type="auto" w:w="0"/>
        <w:tblLook w:firstRow="1" w:lastRow="0" w:firstColumn="0" w:lastColumn="0" w:noHBand="0" w:noVBand="0" w:val="0020"/>
        <w:jc w:val="center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Normal"/>
              <w:spacing w:line="240" w:lineRule="auto" w:after="0"/>
            </w:pPr>
            <m:oMath>
              <m:r>
                <m:t>α</m:t>
              </m:r>
            </m:oMath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​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HR (95% CrI)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P(HR &lt; 1)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P(HR &lt; 0.90)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P(HR &lt; 0.80)</w:t>
            </w:r>
          </w:p>
        </w:tc>
      </w:tr>
      <w:tr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0.0 (RCTs only)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0.98 (0.63–2.35)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60.9%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17.7%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9.1%</w:t>
            </w:r>
          </w:p>
        </w:tc>
      </w:tr>
      <w:tr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0.1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0.92 (0.63–2.19)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70.4%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43.5%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17.7%</w:t>
            </w:r>
          </w:p>
        </w:tc>
      </w:tr>
      <w:tr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0.2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0.88 (0.60–1.80)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78.4%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57.0%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26.0%</w:t>
            </w:r>
          </w:p>
        </w:tc>
      </w:tr>
      <w:tr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0.3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0.85 (0.59–1.57)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83.7%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65.7%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32.8%</w:t>
            </w:r>
          </w:p>
        </w:tc>
      </w:tr>
      <w:tr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0.5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0.82 (0.62–1.15)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91.9%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79.2%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42.5%</w:t>
            </w:r>
          </w:p>
        </w:tc>
      </w:tr>
      <w:tr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0.7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0.79 (0.63–1.02)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96.8%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88.7%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53.4%</w:t>
            </w:r>
          </w:p>
        </w:tc>
      </w:tr>
      <w:tr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1.0 (full weight)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0.78 (0.65–0.95)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99.1%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94.8%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64.1%</w:t>
            </w:r>
          </w:p>
        </w:tc>
      </w:tr>
    </w:tbl>
    <w:tbl xmlns:a="http://schemas.openxmlformats.org/drawingml/2006/main" xmlns:pic="http://schemas.openxmlformats.org/drawingml/2006/picture">
      <w:tblPr>
        <w:tblStyle w:val="Table Grid"/>
        <w:tblW w:type="pct" w:w="5000"/>
        <w:tblLayout w:type="fixed"/>
        <w:tblLook w:firstRow="1" w:lastRow="0" w:firstColumn="0" w:lastColumn="0" w:noHBand="0" w:noVBand="0" w:val="0020"/>
        <w:jc w:val="center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GRADE domain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Standard (Mg in AMI)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KOTHA (Mg in AMI)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Standard (Statins HF)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  <w:b/>
              </w:rPr>
              <w:t xml:space="preserve">KOTHA (Statins HF)</w:t>
            </w:r>
          </w:p>
        </w:tc>
      </w:tr>
      <w:tr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Risk of bias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Low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Low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Low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Low</w:t>
            </w:r>
          </w:p>
        </w:tc>
      </w:tr>
      <w:tr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Inconsistency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High (</w:t>
            </w:r>
            <m:oMath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= 62%)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High (</w:t>
            </w:r>
            <m:oMath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= 62%)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Low (</w:t>
            </w:r>
            <m:oMath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= 0%)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Low (</w:t>
            </w:r>
            <m:oMath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= 0%)</w:t>
            </w:r>
          </w:p>
        </w:tc>
      </w:tr>
      <w:tr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Indirectness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Not assessed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Moderate: event rate decreased by 18%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Not assessed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Serious: event rate decreased by 47%</w:t>
            </w:r>
          </w:p>
        </w:tc>
      </w:tr>
      <w:tr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Imprecision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Serious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Serious (heterogeneity-driven)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Serious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Serious</w:t>
            </w:r>
          </w:p>
        </w:tc>
      </w:tr>
      <w:tr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Overall certainty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Low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Very low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Moderate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Low</w:t>
            </w:r>
          </w:p>
        </w:tc>
      </w:tr>
      <w:tr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Recommendation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“No benefit demonstrated”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“Inconclusive; conditional recommendation”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“No benefit demonstrated”</w:t>
            </w:r>
          </w:p>
        </w:tc>
        <w:tc>
          <w:tcPr/>
          <w:p>
            <w:pPr>
              <w:pStyle w:val="Normal"/>
              <w:spacing w:line="240" w:lineRule="auto" w:after="0"/>
            </w:pPr>
            <w:r>
              <w:rPr>
                <w:rFonts w:ascii="Times New Roman" w:hAnsi="Times New Roman" w:cs="Times New Roman" w:eastAsia="Times New Roman"/>
                <w:sz w:val="20"/>
                <w:szCs w:val="20"/>
              </w:rPr>
              <w:t xml:space="preserve">“Inconclusive; conditional recommendation”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