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Simulation-Based Approach to Quantifying and Correcting Structural Information Loss in Randomized Controlled Trial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3100</w:t>
      </w:r>
    </w:p>
    <w:p>
      <w:r>
        <w:rPr>
          <w:rFonts w:ascii="Times New Roman" w:hAnsi="Times New Roman"/>
          <w:b w:val="0"/>
          <w:i/>
          <w:sz w:val="24"/>
        </w:rPr>
        <w:t>Prepared for submission to Clinical Trials: Journal of the Society for Clinical Trials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Evidence-based medicine places RCTs and meta-analyses at the top of the evidence hierarchy, yet when observational and RCT evidence disagree the usual explanation is residual confounding. We highlight a structural explanation: trial enrollment progressively excludes higher-risk patients, diluting event rates and statistical information. The Knowledge-driven Observational-Trial Harmonization Approach (KOTHA) Framework diagnoses this structural information loss. We aimed to develop and illustrate KOTHA so that trialists can distinguish structural information loss from residual confounding and inform sample size, eligibility, enrichment, and endpoint decisions in prospective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quantifies risk-profile shifts and power loss, Module T combines RCT and observational evidence with power-prior discounting, and Module H translates outputs into a GRADE-compatible assessment. We applied it to magnesium in acute myocardial infarction and statins in heart failure.</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to 7.2%; the pre-ISIS-4 pooled odds ratio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hazard ratio (HR) was 0.72 (0.64-0.80) versus RCT HR 0.97 (0.90-1.05), with an event-rate ratio of 0.51. Bayesian integration (alpha = 0.3) yielded OR 0.74 (CrI 0.25-1.43), P(OR &lt; 1) = 80.7% for magnesium and HR 0.85 (0.55-1.24), P(HR &lt; 1) = 86.5% for statins; both probabilities remained below conventional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Module H classified magnesium as inconclusive with serious inconsistency (heterogeneity), and statins as inconclusive with serious indirectness.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Bayesian evidence synthesis,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Nevertheless,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vertAlign w:val="superscript"/>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w:t>
      </w:r>
      <w:r>
        <w:rPr>
          <w:rFonts w:ascii="Times New Roman" w:hAnsi="Times New Roman" w:cs="Times New Roman" w:eastAsia="Times New Roman"/>
          <w:sz w:val="24"/>
          <w:szCs w:val="24"/>
          <w:vertAlign w:val="superscript"/>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vertAlign w:val="superscript"/>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vertAlign w:val="superscript"/>
        </w:rPr>
        <w:t xml:space="preserve">8-9</w:t>
      </w:r>
      <w:r>
        <w:rPr>
          <w:rFonts w:ascii="Times New Roman" w:hAnsi="Times New Roman" w:cs="Times New Roman" w:eastAsia="Times New Roman"/>
          <w:sz w:val="24"/>
          <w:szCs w:val="24"/>
        </w:rPr>
        <w:t xml:space="preserve">. Both are underused in guideline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S1),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clinical 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rPr>
          <w:rFonts w:ascii="Times New Roman" w:hAnsi="Times New Roman"/>
          <w:b/>
          <w:sz w:val="20"/>
        </w:rPr>
        <w:t>[Insert Figure 1]</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vertAlign w:val="superscript"/>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vertAlign w:val="superscript"/>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vertAlign w:val="superscript"/>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vertAlign w:val="superscript"/>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vertAlign w:val="superscript"/>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It includes five assessments (Table 1):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w:t>
      </w:r>
    </w:p>
    <w:p>
      <w:r>
        <w:rPr>
          <w:rFonts w:ascii="Times New Roman" w:hAnsi="Times New Roman"/>
          <w:b/>
          <w:i w:val="0"/>
          <w:sz w:val="24"/>
        </w:rPr>
        <w:t>Table 1: Module H assessment checklist mapped to GRADE domains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980"/>
        <w:gridCol w:w="1980"/>
        <w:gridCol w:w="1980"/>
        <w:gridCol w:w="198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Module H assessment</w:t>
            </w:r>
          </w:p>
        </w:tc>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Analytical tool</w:t>
            </w:r>
          </w:p>
        </w:tc>
        <w:tc>
          <w:tcPr/>
          <w:p>
            <w:pPr>
              <w:pStyle w:val="Normal"/>
              <w:jc w:val="left"/>
              <w:spacing w:line="240" w:lineRule="auto" w:after="0"/>
            </w:pPr>
            <w:r>
              <w:rPr>
                <w:rFonts w:ascii="Times New Roman" w:hAnsi="Times New Roman" w:cs="Times New Roman" w:eastAsia="Times New Roman"/>
                <w:sz w:val="20"/>
                <w:szCs w:val="20"/>
                <w:b/>
              </w:rPr>
              <w:t xml:space="preserve">Decision criterion</w:t>
            </w:r>
          </w:p>
        </w:tc>
      </w:tr>
      <w:tr>
        <w:tc>
          <w:tcPr/>
          <w:p>
            <w:pPr>
              <w:pStyle w:val="Normal"/>
              <w:jc w:val="left"/>
              <w:spacing w:line="240" w:lineRule="auto" w:after="0"/>
            </w:pPr>
            <w:r>
              <w:rPr>
                <w:rFonts w:ascii="Times New Roman" w:hAnsi="Times New Roman" w:cs="Times New Roman" w:eastAsia="Times New Roman"/>
                <w:sz w:val="20"/>
                <w:szCs w:val="20"/>
              </w:rPr>
              <w:t xml:space="preserve">Information sufficiency</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OIS calculation</w:t>
            </w:r>
          </w:p>
        </w:tc>
        <w:tc>
          <w:tcPr/>
          <w:p>
            <w:pPr>
              <w:pStyle w:val="Normal"/>
              <w:jc w:val="left"/>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jc w:val="left"/>
              <w:spacing w:line="240" w:lineRule="auto" w:after="0"/>
            </w:pPr>
            <w:r>
              <w:rPr>
                <w:rFonts w:ascii="Times New Roman" w:hAnsi="Times New Roman" w:cs="Times New Roman" w:eastAsia="Times New Roman"/>
                <w:sz w:val="20"/>
                <w:szCs w:val="20"/>
              </w:rPr>
              <w:t xml:space="preserve">CI assessment</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CI inspection</w:t>
            </w:r>
          </w:p>
        </w:tc>
        <w:tc>
          <w:tcPr/>
          <w:p>
            <w:pPr>
              <w:pStyle w:val="Normal"/>
              <w:jc w:val="left"/>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jc w:val="left"/>
              <w:spacing w:line="240" w:lineRule="auto" w:after="0"/>
            </w:pPr>
            <w:r>
              <w:rPr>
                <w:rFonts w:ascii="Times New Roman" w:hAnsi="Times New Roman" w:cs="Times New Roman" w:eastAsia="Times New Roman"/>
                <w:sz w:val="20"/>
                <w:szCs w:val="20"/>
              </w:rPr>
              <w:t xml:space="preserve">Representativeness</w:t>
            </w:r>
          </w:p>
        </w:tc>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Module K event rate ratio</w:t>
            </w:r>
          </w:p>
        </w:tc>
        <w:tc>
          <w:tcPr/>
          <w:p>
            <w:pPr>
              <w:pStyle w:val="Normal"/>
              <w:jc w:val="left"/>
              <w:spacing w:line="240" w:lineRule="auto" w:after="0"/>
            </w:pPr>
            <w:r>
              <w:rPr>
                <w:rFonts w:ascii="Times New Roman" w:hAnsi="Times New Roman" w:cs="Times New Roman" w:eastAsia="Times New Roman"/>
                <w:sz w:val="20"/>
                <w:szCs w:val="20"/>
              </w:rPr>
              <w:t xml:space="preserve">&lt; 0.67 or &gt; 1.50: serious; &lt; 0.80 or &gt; 1.25: moderate</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jc w:val="left"/>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 language</w:t>
            </w:r>
          </w:p>
        </w:tc>
        <w:tc>
          <w:tcPr/>
          <w:p>
            <w:pPr>
              <w:pStyle w:val="Normal"/>
              <w:jc w:val="left"/>
              <w:spacing w:line="240" w:lineRule="auto" w:after="0"/>
            </w:pPr>
            <w:r>
              <w:rPr>
                <w:rFonts w:ascii="Times New Roman" w:hAnsi="Times New Roman" w:cs="Times New Roman" w:eastAsia="Times New Roman"/>
                <w:sz w:val="20"/>
                <w:szCs w:val="20"/>
              </w:rPr>
              <w:t xml:space="preserve">Overall assessment</w:t>
            </w:r>
          </w:p>
        </w:tc>
        <w:tc>
          <w:tcPr/>
          <w:p>
            <w:pPr>
              <w:pStyle w:val="Normal"/>
              <w:jc w:val="left"/>
              <w:spacing w:line="240" w:lineRule="auto" w:after="0"/>
            </w:pPr>
            <w:r>
              <w:rPr>
                <w:rFonts w:ascii="Times New Roman" w:hAnsi="Times New Roman" w:cs="Times New Roman" w:eastAsia="Times New Roman"/>
                <w:sz w:val="20"/>
                <w:szCs w:val="20"/>
              </w:rPr>
              <w:t xml:space="preserve">Standardized templates</w:t>
            </w:r>
          </w:p>
        </w:tc>
        <w:tc>
          <w:tcPr/>
          <w:p>
            <w:pPr>
              <w:pStyle w:val="Normal"/>
              <w:jc w:val="left"/>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vertAlign w:val="superscript"/>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vertAlign w:val="superscript"/>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vertAlign w:val="superscript"/>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vertAlign w:val="superscript"/>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S2 (magnesium in AMI) and Supplementary Table S3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rPr>
          <w:rFonts w:ascii="Times New Roman" w:hAnsi="Times New Roman"/>
          <w:b/>
          <w:sz w:val="20"/>
        </w:rPr>
        <w:t>[Insert Figure 2]</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rPr>
          <w:rFonts w:ascii="Times New Roman" w:hAnsi="Times New Roman"/>
          <w:b/>
          <w:sz w:val="20"/>
        </w:rPr>
        <w:t>[Insert Figure 3]</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rPr>
          <w:rFonts w:ascii="Times New Roman" w:hAnsi="Times New Roman"/>
          <w:b/>
          <w:sz w:val="20"/>
        </w:rPr>
        <w:t>[Insert Figure 4]</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(Supplementary Table S4)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(Supplementary Fig. S3A).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(Supplementary Fig. S3B). Even with moderate borrowing from observational evidence, conclusions remained uncertain.</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2 and Supplementary Fig. S4.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r>
        <w:rPr>
          <w:rFonts w:ascii="Times New Roman" w:hAnsi="Times New Roman"/>
          <w:b/>
          <w:i w:val="0"/>
          <w:sz w:val="24"/>
        </w:rPr>
        <w:t>Table 2: Module H assessment --- Standard GRADE vs. KOTHA-enhanced</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Standard (Mg in AMI)</w:t>
            </w:r>
          </w:p>
        </w:tc>
        <w:tc>
          <w:tcPr/>
          <w:p>
            <w:pPr>
              <w:pStyle w:val="Normal"/>
              <w:jc w:val="left"/>
              <w:spacing w:line="240" w:lineRule="auto" w:after="0"/>
            </w:pPr>
            <w:r>
              <w:rPr>
                <w:rFonts w:ascii="Times New Roman" w:hAnsi="Times New Roman" w:cs="Times New Roman" w:eastAsia="Times New Roman"/>
                <w:sz w:val="20"/>
                <w:szCs w:val="20"/>
                <w:b/>
              </w:rPr>
              <w:t xml:space="preserve">KOTHA (Mg in AMI)</w:t>
            </w:r>
          </w:p>
        </w:tc>
        <w:tc>
          <w:tcPr/>
          <w:p>
            <w:pPr>
              <w:pStyle w:val="Normal"/>
              <w:jc w:val="left"/>
              <w:spacing w:line="240" w:lineRule="auto" w:after="0"/>
            </w:pPr>
            <w:r>
              <w:rPr>
                <w:rFonts w:ascii="Times New Roman" w:hAnsi="Times New Roman" w:cs="Times New Roman" w:eastAsia="Times New Roman"/>
                <w:sz w:val="20"/>
                <w:szCs w:val="20"/>
                <w:b/>
              </w:rPr>
              <w:t xml:space="preserve">Standard (Statins HF)</w:t>
            </w:r>
          </w:p>
        </w:tc>
        <w:tc>
          <w:tcPr/>
          <w:p>
            <w:pPr>
              <w:pStyle w:val="Normal"/>
              <w:jc w:val="left"/>
              <w:spacing w:line="240" w:lineRule="auto" w:after="0"/>
            </w:pPr>
            <w:r>
              <w:rPr>
                <w:rFonts w:ascii="Times New Roman" w:hAnsi="Times New Roman" w:cs="Times New Roman" w:eastAsia="Times New Roman"/>
                <w:sz w:val="20"/>
                <w:szCs w:val="20"/>
                <w:b/>
              </w:rPr>
              <w:t xml:space="preserve">KOTHA (Statins HF)</w:t>
            </w:r>
          </w:p>
        </w:tc>
      </w:tr>
      <w:tr>
        <w:tc>
          <w:tcPr/>
          <w:p>
            <w:pPr>
              <w:pStyle w:val="Normal"/>
              <w:jc w:val="left"/>
              <w:spacing w:line="240" w:lineRule="auto" w:after="0"/>
            </w:pPr>
            <w:r>
              <w:rPr>
                <w:rFonts w:ascii="Times New Roman" w:hAnsi="Times New Roman" w:cs="Times New Roman" w:eastAsia="Times New Roman"/>
                <w:sz w:val="20"/>
                <w:szCs w:val="20"/>
              </w:rPr>
              <w:t xml:space="preserve">Risk of bias</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Inconsistency</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Low: event rate decreased by 18%</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Serious: event rate decreased by 49%</w:t>
            </w:r>
          </w:p>
        </w:tc>
      </w:tr>
      <w:tr>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Not serious (OIS met)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null)</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r>
      <w:tr>
        <w:tc>
          <w:tcPr/>
          <w:p>
            <w:pPr>
              <w:pStyle w:val="Normal"/>
              <w:jc w:val="left"/>
              <w:spacing w:line="240" w:lineRule="auto" w:after="0"/>
            </w:pPr>
            <w:r>
              <w:rPr>
                <w:rFonts w:ascii="Times New Roman" w:hAnsi="Times New Roman" w:cs="Times New Roman" w:eastAsia="Times New Roman"/>
                <w:sz w:val="20"/>
                <w:szCs w:val="20"/>
              </w:rPr>
              <w:t xml:space="preserve">Overall certainty</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High</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r>
    </w:tbl>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the power-prior combination rule can improve operating characteristics when observational data contain information about the target population that RCT enrollment discards, provided the observational likelihood is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instead of asking what sample size is needed under a hypothesized effect, the trialist asks what sample size is needed given the event rate that the enrolled population will actually display.</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vertAlign w:val="superscript"/>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vertAlign w:val="superscript"/>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and is illustrated with real, well-documented cases. The operating-characteristics simulation is fully transparent---parameters, generative process, and metrics are reported explicitly---and it confirms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p>
      <w:r>
        <w:br w:type="page"/>
      </w:r>
    </w:p>
    <w:p>
      <w:pPr>
        <w:pStyle w:val="Heading2"/>
      </w:pPr>
      <w:r>
        <w:rPr>
          <w:rFonts w:ascii="Times New Roman" w:hAnsi="Times New Roman"/>
          <w:b/>
          <w:color w:val="000000"/>
          <w:sz w:val="24"/>
        </w:rPr>
        <w:t>Figure Legends</w:t>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