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Tables</w:t>
      </w:r>
    </w:p>
    <w:p/>
    <w:p>
      <w:r>
        <w:rPr>
          <w:rFonts w:ascii="Times New Roman" w:hAnsi="Times New Roman"/>
          <w:b/>
          <w:sz w:val="24"/>
        </w:rPr>
        <w:t>Supplementary Table S1: Existing approaches to mitigate event dilution in RCTs</w:t>
      </w:r>
    </w:p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Approach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Mechanism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Adoption level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Stratified randomization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Risk-based stratification of randomization and analysis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Common for basic strata; rare for event-rate-driven strata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Prognostic enrichment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Intentional enrollment of high-risk patients to increase event rates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Endorsed by FDA and EMA guidance; limited in non-drug trials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Event-driven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Continue enrollment/follow-up until target event count is reached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Common in cardiology and oncology; rare in other specialties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Adaptive sample size re-estimation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Mid-trial re-estimation of required sample size based on observed event rates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Statistically powerful; regulatory complexity limits adoption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External data-informed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Use retrospective data to quantify expected event loss and adjust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Ideal but very rare in practice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Pragmatic / registry-based trials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Broad eligibility, minimal exclusions, real-world enrollment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Growing (e.g., REMAP-CAP, RECOVERY) but not yet standard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Supplementary Table S2: Study-level data for magnesium in AMI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Study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Era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Events (Mg)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N (Mg)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Events (Ctrl)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N (Ctrl)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Control rate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Morton 1984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5.6%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Rasmussen 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11.4%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Smith 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3.5%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Abraham 1987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2.2%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Ceremuzynski 1989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13.0%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Shechter 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17.0%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Singh 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29.7%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Feldstedt 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Transition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7.0%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Schechter 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Transition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3.5%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LIMIT-2 1992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1,159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118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1,157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10.2%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Shechter 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15.7%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ISIS-4 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2216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29,011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2103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29,039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7.2%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Supplementary Table S3: Study-level data for statins in heart failure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Study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Design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HR (95% CI)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Events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Mozaffarian 2004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0.62 (0.49--0.78)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1,153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356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Horwich 2004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0.59 (0.44--0.78)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551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189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Go 2006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0.69 (0.63--0.75)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24,598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5,765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Foody 2006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0.82 (0.79--0.85)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54,960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16,573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Anker 2006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0.75 (0.66--0.85)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10,510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2,890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CORONA 2007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RCT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0.95 (0.86--1.05)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5,011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728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GISSI-HF 2008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RCT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1.00 (0.90--1.12)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4,574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657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Supplementary Table S4: Bayesian integration results by case and discounting factor (power prior)</w:t>
      </w:r>
    </w:p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Case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m:oMath>
              <m:r>
                <m:t>α</m:t>
              </m:r>
            </m:oMath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OR/HR (95% CrI)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P(effect &lt; 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P(effect &lt; 0.90)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  <w:b/>
              </w:rPr>
              <w:t xml:space="preserve">P(effect &lt; 0.80)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0.0 (ISIS-4 / RCTs only)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1.05 (0.03--27.97)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42.8%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33.4%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27.0%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0.0 (ISIS-4 / RCTs only)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0.97 (0.58--1.65)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62.9%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21.2%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8.9%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0.93 (0.15--2.92)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58.3%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46.3%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36.2%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0.92 (0.53--1.64)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71.9%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42.7%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19.2%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0.83 (0.22--1.75)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71.4%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58.9%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46.9%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0.89 (0.53--1.41)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79.8%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54.7%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24.4%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0.74 (0.25--1.43)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80.7%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69.6%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57.4%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0.85 (0.55--1.24)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86.5%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66.0%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31.1%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0.63 (0.28--1.10)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94.0%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87.2%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76.3%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0.82 (0.59--1.10)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93.9%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79.6%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41.9%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0.59 (0.29--0.98)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98.1%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94.8%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87.1%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0.7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0.80 (0.62--1.00)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97.3%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88.3%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49.7%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1.0 (full weight)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OR 0.55 (0.32--0.87)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99.6%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98.4%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94.4%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1.0 (full weight)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HR 0.78 (0.64--0.93)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99.3%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95.7%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2"/>
                <w:szCs w:val="20"/>
              </w:rPr>
              <w:t xml:space="preserve">63.3%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-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