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 xmlns:a="http://schemas.openxmlformats.org/drawingml/2006/main" xmlns:pic="http://schemas.openxmlformats.org/drawingml/2006/picture">
      <w:tblPr>
        <w:tblStyle w:val="Table Grid"/>
        <w:tblW w:type="pct" w:w="5000"/>
        <w:tblLook w:firstRow="1" w:lastRow="0" w:firstColumn="0" w:lastColumn="0" w:noHBand="0" w:noVBand="0" w:val="0020"/>
        <w:jc w:val="center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Module H assessment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GRADE domain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Analytical tool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Decision criterion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Information sufficiency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Imprecision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OIS calculation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Total events &lt; OIS: informationally insufficient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CI assessment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Imprecision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CI inspection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CI spans benefit through null: inconclusive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Representativeness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Indirectness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Module K event rate ratio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&lt; 0.67 or &gt; 1.50: serious; &lt; 0.80 or &gt; 1.25: moderate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TSA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Imprecision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Sequential monitoring boundaries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Boundaries not crossed: interim analysis equivalent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Recommendation language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Overall assessment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Standardized templates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Tailored to information sufficiency classification</w:t>
            </w:r>
          </w:p>
        </w:tc>
      </w:tr>
    </w:tbl>
    <w:tbl xmlns:a="http://schemas.openxmlformats.org/drawingml/2006/main" xmlns:pic="http://schemas.openxmlformats.org/drawingml/2006/picture">
      <w:tblPr>
        <w:tblStyle w:val="Table Grid"/>
        <w:tblW w:type="pct" w:w="5000"/>
        <w:tblLook w:firstRow="1" w:lastRow="0" w:firstColumn="0" w:lastColumn="0" w:noHBand="0" w:noVBand="0" w:val="0020"/>
        <w:jc w:val="center"/>
        <w:tblLayout w:type="fixed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GRADE domain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Standard (Mg in AMI)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KOTHA (Mg in AMI)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Standard (Statins HF)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KOTHA (Statins HF)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Risk of bias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Low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Low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Low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Low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Inconsistency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High (</w:t>
            </w:r>
            <m:oMath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= 62%)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High (</w:t>
            </w:r>
            <m:oMath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= 62%)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Low (</w:t>
            </w:r>
            <m:oMath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= 0%)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Low (</w:t>
            </w:r>
            <m:oMath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= 0%)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Indirectness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Not assessed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Low: event rate decreased by 18%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Not assessed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Serious: event rate decreased by 49%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Imprecision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Not serious (OIS met)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Not serious (OIS met, CI excludes null)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Not serious (OIS met, CI excludes clinically important benefit)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Not serious (OIS met, CI excludes clinically important benefit)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Overall certainty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Low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Low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High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Low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Recommendation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"No benefit demonstrated"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"Inconclusive; conditional recommendation"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"No benefit demonstrated"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"Inconclusive; conditional recommendation"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-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-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Gothic"/>
        <a:font script="Hang" typeface="Malgun Gothic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MS Mincho"/>
        <a:font script="Hang" typeface="Malgun Gothic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