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i w:val="0"/>
          <w:sz w:val="24"/>
        </w:rPr>
        <w:t>Running head: KOTHA Framework for Information Loss</w:t>
      </w:r>
    </w:p>
    <w:p>
      <w:pPr>
        <w:jc w:val="center"/>
      </w:pPr>
      <w:r>
        <w:rPr>
          <w:rFonts w:ascii="Times New Roman" w:hAnsi="Times New Roman"/>
          <w:b/>
          <w:i w:val="0"/>
          <w:sz w:val="28"/>
        </w:rPr>
        <w:t>The KOTHA Framework: A Simulation Study of Power-Prior Integration to Correct Structural Information Loss in RCT Meta-Analyses</w:t>
      </w:r>
    </w:p>
    <w:p>
      <w:pPr>
        <w:jc w:val="center"/>
      </w:pPr>
      <w:r>
        <w:rPr>
          <w:rFonts w:ascii="Times New Roman" w:hAnsi="Times New Roman"/>
          <w:b w:val="0"/>
          <w:i/>
          <w:sz w:val="24"/>
        </w:rPr>
        <w:t>[To be determined]</w:t>
      </w:r>
    </w:p>
    <w:p>
      <w:pPr>
        <w:jc w:val="center"/>
      </w:pPr>
      <w:r>
        <w:rPr>
          <w:rFonts w:ascii="Times New Roman" w:hAnsi="Times New Roman"/>
          <w:b w:val="0"/>
          <w:i/>
          <w:sz w:val="24"/>
        </w:rPr>
        <w:t>Affiliations: [To be determined]</w:t>
      </w:r>
    </w:p>
    <w:p>
      <w:r>
        <w:rPr>
          <w:rFonts w:ascii="Times New Roman" w:hAnsi="Times New Roman"/>
          <w:b w:val="0"/>
          <w:i w:val="0"/>
          <w:sz w:val="24"/>
        </w:rPr>
        <w:t>Corresponding author: [To be determined]</w:t>
      </w:r>
    </w:p>
    <w:p>
      <w:r>
        <w:rPr>
          <w:rFonts w:ascii="Times New Roman" w:hAnsi="Times New Roman"/>
          <w:b w:val="0"/>
          <w:i w:val="0"/>
          <w:sz w:val="24"/>
        </w:rPr>
        <w:t>Corresponding author address: [To be determined]</w:t>
      </w:r>
    </w:p>
    <w:p>
      <w:r>
        <w:rPr>
          <w:rFonts w:ascii="Times New Roman" w:hAnsi="Times New Roman"/>
          <w:b w:val="0"/>
          <w:i w:val="0"/>
          <w:sz w:val="24"/>
        </w:rPr>
        <w:t>Word count: 3253</w:t>
      </w:r>
    </w:p>
    <w:p>
      <w:r>
        <w:rPr>
          <w:rFonts w:ascii="Times New Roman" w:hAnsi="Times New Roman"/>
          <w:b w:val="0"/>
          <w:i/>
          <w:sz w:val="24"/>
        </w:rPr>
        <w:t>Prepared for submission to Journal of Biopharmaceutical Statistics</w:t>
      </w:r>
    </w:p>
    <w:p>
      <w:r>
        <w:br w:type="page"/>
      </w:r>
    </w:p>
    <w:p>
      <w:pPr>
        <w:pStyle w:val="Heading2"/>
      </w:pPr>
      <w:r>
        <w:rPr>
          <w:rFonts w:ascii="Times New Roman" w:hAnsi="Times New Roman"/>
          <w:b/>
          <w:color w:val="000000"/>
          <w:sz w:val="24"/>
        </w:rPr>
        <w:t>Abstract</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Background/Aims</w:t>
      </w:r>
      <w:r>
        <w:rPr>
          <w:rFonts w:ascii="Times New Roman" w:hAnsi="Times New Roman" w:cs="Times New Roman" w:eastAsia="Times New Roman"/>
          <w:sz w:val="24"/>
          <w:szCs w:val="24"/>
        </w:rPr>
        <w:t xml:space="preserve">: Standard meta-analyses often conflate absence of evidence with evidence of absence when RCT enrollment shifts patients to lower-risk profiles. The KOTHA Framework quantifies this structural information loss and integrates RCT and observational evidence through power-prior Bayesian synthesis to inform Phase II/III and enrichment-trial design.</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Methods</w:t>
      </w:r>
      <w:r>
        <w:rPr>
          <w:rFonts w:ascii="Times New Roman" w:hAnsi="Times New Roman" w:cs="Times New Roman" w:eastAsia="Times New Roman"/>
          <w:sz w:val="24"/>
          <w:szCs w:val="24"/>
        </w:rPr>
        <w:t xml:space="preserve">: KOTHA has three modules: counterfactual power simulation, Bayesian evidence integration, and GRADE-compatible interpretation. We applied it to magnesium in acute myocardial infarction and statins in heart failure and evaluated operating characteristics---bias, RMSE, coverage, and power---in a prespecified simulation.</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Results</w:t>
      </w:r>
      <w:r>
        <w:rPr>
          <w:rFonts w:ascii="Times New Roman" w:hAnsi="Times New Roman" w:cs="Times New Roman" w:eastAsia="Times New Roman"/>
          <w:sz w:val="24"/>
          <w:szCs w:val="24"/>
        </w:rPr>
        <w:t xml:space="preserve">: Control event rates fell from 8.9% to 7.2% for magnesium and the RCT-to-observational event rate ratio was 0.51 for statins. Bayesian integration (</w:t>
      </w:r>
      <m:oMath>
        <m:r>
          <m:t>α</m:t>
        </m:r>
      </m:oMath>
      <w:r>
        <w:rPr>
          <w:rFonts w:ascii="Times New Roman" w:hAnsi="Times New Roman" w:cs="Times New Roman" w:eastAsia="Times New Roman"/>
          <w:sz w:val="24"/>
          <w:szCs w:val="24"/>
        </w:rPr>
        <w:t xml:space="preserve">=0.3) gave OR 0.74 (CrI 0.25-1.43) and HR 0.85 (0.55-1.24), with posterior probabilities of benefit 80.7% and 86.5%; both remained below decision thresholds. A prespecified simulation showed KOTHA (</w:t>
      </w:r>
      <m:oMath>
        <m:r>
          <m:t>α</m:t>
        </m:r>
      </m:oMath>
      <w:r>
        <w:rPr>
          <w:rFonts w:ascii="Times New Roman" w:hAnsi="Times New Roman" w:cs="Times New Roman" w:eastAsia="Times New Roman"/>
          <w:sz w:val="24"/>
          <w:szCs w:val="24"/>
        </w:rPr>
        <w:t xml:space="preserve">=0.3) reduced absolute bias by 69%, RMSE by 37%, and increased power by 63 percentage points versus RCT-enrolled-only analysis.</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Conclusions</w:t>
      </w:r>
      <w:r>
        <w:rPr>
          <w:rFonts w:ascii="Times New Roman" w:hAnsi="Times New Roman" w:cs="Times New Roman" w:eastAsia="Times New Roman"/>
          <w:sz w:val="24"/>
          <w:szCs w:val="24"/>
        </w:rPr>
        <w:t xml:space="preserve">: KOTHA distinguishes evidence of no effect from no evidence of effect and provides a reproducible diagnostic for Phase II/III and enrichment-trial design.</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Key Words: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counterfactual power simulation; power prior; observational-RCT discordance; enrichment trial design; structural information loss; GRADE.</w:t>
      </w:r>
    </w:p>
    <w:p>
      <w:pPr>
        <w:pStyle w:val="Heading2"/>
      </w:pPr>
      <w:r>
        <w:rPr>
          <w:rFonts w:ascii="Times New Roman" w:hAnsi="Times New Roman"/>
          <w:b/>
          <w:color w:val="000000"/>
          <w:sz w:val="24"/>
        </w:rPr>
        <w:t>Abbreviations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ADEMP</w:t>
      </w:r>
      <w:r>
        <w:rPr>
          <w:rFonts w:ascii="Times New Roman" w:hAnsi="Times New Roman" w:cs="Times New Roman" w:eastAsia="Times New Roman"/>
          <w:sz w:val="24"/>
          <w:szCs w:val="24"/>
        </w:rPr>
        <w:t xml:space="preserve">: Aims, Data-generating mechanisms, Estimands, Methods, Performance measures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AMI</w:t>
      </w:r>
      <w:r>
        <w:rPr>
          <w:rFonts w:ascii="Times New Roman" w:hAnsi="Times New Roman" w:cs="Times New Roman" w:eastAsia="Times New Roman"/>
          <w:sz w:val="24"/>
          <w:szCs w:val="24"/>
        </w:rPr>
        <w:t xml:space="preserve">: Acute myocardial infarction</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CrI</w:t>
      </w:r>
      <w:r>
        <w:rPr>
          <w:rFonts w:ascii="Times New Roman" w:hAnsi="Times New Roman" w:cs="Times New Roman" w:eastAsia="Times New Roman"/>
          <w:sz w:val="24"/>
          <w:szCs w:val="24"/>
        </w:rPr>
        <w:t xml:space="preserve">: Credible interval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CI</w:t>
      </w:r>
      <w:r>
        <w:rPr>
          <w:rFonts w:ascii="Times New Roman" w:hAnsi="Times New Roman" w:cs="Times New Roman" w:eastAsia="Times New Roman"/>
          <w:sz w:val="24"/>
          <w:szCs w:val="24"/>
        </w:rPr>
        <w:t xml:space="preserve">: Confidence interval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GRADE</w:t>
      </w:r>
      <w:r>
        <w:rPr>
          <w:rFonts w:ascii="Times New Roman" w:hAnsi="Times New Roman" w:cs="Times New Roman" w:eastAsia="Times New Roman"/>
          <w:sz w:val="24"/>
          <w:szCs w:val="24"/>
        </w:rPr>
        <w:t xml:space="preserve">: Grading of Recommendations Assessment, Development and Evaluation</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HF</w:t>
      </w:r>
      <w:r>
        <w:rPr>
          <w:rFonts w:ascii="Times New Roman" w:hAnsi="Times New Roman" w:cs="Times New Roman" w:eastAsia="Times New Roman"/>
          <w:sz w:val="24"/>
          <w:szCs w:val="24"/>
        </w:rPr>
        <w:t xml:space="preserve">: Heart failure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HR</w:t>
      </w:r>
      <w:r>
        <w:rPr>
          <w:rFonts w:ascii="Times New Roman" w:hAnsi="Times New Roman" w:cs="Times New Roman" w:eastAsia="Times New Roman"/>
          <w:sz w:val="24"/>
          <w:szCs w:val="24"/>
        </w:rPr>
        <w:t xml:space="preserve">: Hazard ratio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KOTHA</w:t>
      </w:r>
      <w:r>
        <w:rPr>
          <w:rFonts w:ascii="Times New Roman" w:hAnsi="Times New Roman" w:cs="Times New Roman" w:eastAsia="Times New Roman"/>
          <w:sz w:val="24"/>
          <w:szCs w:val="24"/>
        </w:rPr>
        <w:t xml:space="preserve">: Knowledge-driven Observational-Trial Harmonization Approach</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MCMC</w:t>
      </w:r>
      <w:r>
        <w:rPr>
          <w:rFonts w:ascii="Times New Roman" w:hAnsi="Times New Roman" w:cs="Times New Roman" w:eastAsia="Times New Roman"/>
          <w:sz w:val="24"/>
          <w:szCs w:val="24"/>
        </w:rPr>
        <w:t xml:space="preserve">: Markov chain Monte Carlo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OIS</w:t>
      </w:r>
      <w:r>
        <w:rPr>
          <w:rFonts w:ascii="Times New Roman" w:hAnsi="Times New Roman" w:cs="Times New Roman" w:eastAsia="Times New Roman"/>
          <w:sz w:val="24"/>
          <w:szCs w:val="24"/>
        </w:rPr>
        <w:t xml:space="preserve">: Optimal information size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OR</w:t>
      </w:r>
      <w:r>
        <w:rPr>
          <w:rFonts w:ascii="Times New Roman" w:hAnsi="Times New Roman" w:cs="Times New Roman" w:eastAsia="Times New Roman"/>
          <w:sz w:val="24"/>
          <w:szCs w:val="24"/>
        </w:rPr>
        <w:t xml:space="preserve">: Odds ratio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RCT</w:t>
      </w:r>
      <w:r>
        <w:rPr>
          <w:rFonts w:ascii="Times New Roman" w:hAnsi="Times New Roman" w:cs="Times New Roman" w:eastAsia="Times New Roman"/>
          <w:sz w:val="24"/>
          <w:szCs w:val="24"/>
        </w:rPr>
        <w:t xml:space="preserve">: Randomized controlled trial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TSA</w:t>
      </w:r>
      <w:r>
        <w:rPr>
          <w:rFonts w:ascii="Times New Roman" w:hAnsi="Times New Roman" w:cs="Times New Roman" w:eastAsia="Times New Roman"/>
          <w:sz w:val="24"/>
          <w:szCs w:val="24"/>
        </w:rPr>
        <w:t xml:space="preserve">: Trial sequential analysis</w:t>
      </w:r>
    </w:p>
    <w:p>
      <w:pPr>
        <w:pStyle w:val="Heading2"/>
      </w:pPr>
      <w:r>
        <w:rPr>
          <w:rFonts w:ascii="Times New Roman" w:hAnsi="Times New Roman"/>
          <w:b/>
          <w:color w:val="000000"/>
          <w:sz w:val="24"/>
        </w:rPr>
        <w:t>1. Introduction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development of pharmaceuticals and biologics increasingly relies on randomized controlled trials (RCTs) for internal validity, but the external validity of trial evidence depends on whether enrolled patients mirror the target clinical population </w:t>
      </w:r>
      <w:r>
        <w:rPr>
          <w:rFonts w:ascii="Times New Roman" w:hAnsi="Times New Roman" w:cs="Times New Roman" w:eastAsia="Times New Roman"/>
          <w:sz w:val="24"/>
          <w:szCs w:val="24"/>
        </w:rPr>
        <w:t xml:space="preserve">[1]</w:t>
      </w:r>
      <w:r>
        <w:rPr>
          <w:rFonts w:ascii="Times New Roman" w:hAnsi="Times New Roman" w:cs="Times New Roman" w:eastAsia="Times New Roman"/>
          <w:sz w:val="24"/>
          <w:szCs w:val="24"/>
        </w:rPr>
        <w:t xml:space="preserve">. Meta-analyses of observational studies and RCTs frequently disagree: observational evidence may show statistically significant benefit while RCT evidence does not </w:t>
      </w:r>
      <w:r>
        <w:rPr>
          <w:rFonts w:ascii="Times New Roman" w:hAnsi="Times New Roman" w:cs="Times New Roman" w:eastAsia="Times New Roman"/>
          <w:sz w:val="24"/>
          <w:szCs w:val="24"/>
        </w:rPr>
        <w:t xml:space="preserve">[2-3]</w:t>
      </w:r>
      <w:r>
        <w:rPr>
          <w:rFonts w:ascii="Times New Roman" w:hAnsi="Times New Roman" w:cs="Times New Roman" w:eastAsia="Times New Roman"/>
          <w:sz w:val="24"/>
          <w:szCs w:val="24"/>
        </w:rPr>
        <w:t xml:space="preserve">. The conventional explanation invokes residual confounding, selection bias, or publication bias in observational data. While these sources of bias are real, they may not fully account for the discordance.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structural information loss</w:t>
      </w:r>
      <w:r>
        <w:rPr>
          <w:rFonts w:ascii="Times New Roman" w:hAnsi="Times New Roman" w:cs="Times New Roman" w:eastAsia="Times New Roman"/>
          <w:sz w:val="24"/>
          <w:szCs w:val="24"/>
        </w:rPr>
        <w:t xml:space="preserve">, a five-step causal chain: representativeness loss; event concentration in excluded populations; inadequate design compensation; systematic underpowering; and, ultimately, distorted recommendations when "no statistically significant difference" is interpreted as "no effect".</w:t>
      </w:r>
      <w:r>
        <w:rPr>
          <w:rFonts w:ascii="Times New Roman" w:hAnsi="Times New Roman" w:cs="Times New Roman" w:eastAsia="Times New Roman"/>
          <w:sz w:val="24"/>
          <w:szCs w:val="24"/>
        </w:rPr>
        <w:t xml:space="preserve">A structural alternative is especially relevant to Phase II/III development and enrichment-trial design. RCT enrollment criteria, consent processes, and site selection progressively restrict the study population </w:t>
      </w:r>
      <w:r>
        <w:rPr>
          <w:rFonts w:ascii="Times New Roman" w:hAnsi="Times New Roman" w:cs="Times New Roman" w:eastAsia="Times New Roman"/>
          <w:sz w:val="24"/>
          <w:szCs w:val="24"/>
        </w:rPr>
        <w:t xml:space="preserve">[4-5]</w:t>
      </w:r>
      <w:r>
        <w:rPr>
          <w:rFonts w:ascii="Times New Roman" w:hAnsi="Times New Roman" w:cs="Times New Roman" w:eastAsia="Times New Roman"/>
          <w:sz w:val="24"/>
          <w:szCs w:val="24"/>
        </w:rPr>
        <w:t xml:space="preserve">. Because clinical events are concentrated in the highest-risk patients---those with comorbidities, advanced disease, or organ dysfunction---their exclusion lowers event rates in the enrolled cohort. If trial protocols do not compensate by increasing sample size, extending follow-up, or enriching high-risk enrollment, the resulting evidence base can become informationally insufficient. We call this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Optimal information size (OIS) and trial sequential analysis (TSA) offer partial remedies. OIS recognizes that meta-analyses, like individual trials, require a minimum information size to reach reliable conclusions </w:t>
      </w:r>
      <w:r>
        <w:rPr>
          <w:rFonts w:ascii="Times New Roman" w:hAnsi="Times New Roman" w:cs="Times New Roman" w:eastAsia="Times New Roman"/>
          <w:sz w:val="24"/>
          <w:szCs w:val="24"/>
        </w:rPr>
        <w:t xml:space="preserve">[6-7]</w:t>
      </w:r>
      <w:r>
        <w:rPr>
          <w:rFonts w:ascii="Times New Roman" w:hAnsi="Times New Roman" w:cs="Times New Roman" w:eastAsia="Times New Roman"/>
          <w:sz w:val="24"/>
          <w:szCs w:val="24"/>
        </w:rPr>
        <w:t xml:space="preserve">. TSA applies sequential monitoring boundaries to cumulative meta-analysis, distinguishing evidence of no effect (futility boundary crossed) from no evidence of effect (boundary not crossed) </w:t>
      </w:r>
      <w:r>
        <w:rPr>
          <w:rFonts w:ascii="Times New Roman" w:hAnsi="Times New Roman" w:cs="Times New Roman" w:eastAsia="Times New Roman"/>
          <w:sz w:val="24"/>
          <w:szCs w:val="24"/>
        </w:rPr>
        <w:t xml:space="preserve">[8-9]</w:t>
      </w:r>
      <w:r>
        <w:rPr>
          <w:rFonts w:ascii="Times New Roman" w:hAnsi="Times New Roman" w:cs="Times New Roman" w:eastAsia="Times New Roman"/>
          <w:sz w:val="24"/>
          <w:szCs w:val="24"/>
        </w:rPr>
        <w:t xml:space="preserve">. Both are underused in biopharmaceutical development, however, and neither directly quantifies the information loss produced by enrollment-driven risk-profile shifts.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Several trial design strategies can mitigate event dilution (Supplementary Table S3), including stratified randomization, prognostic enrichment, event-driven designs, adaptive sample-size re-estimation, and pragmatic or registry-based trials. Existing approaches address these issues separately; to our knowledge, no widely adopted framework links prospective power assessment, retrospective diagnostic evaluation, and structured evidence interpretation in a single reproducible workflow for completed or planned RCTs.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address this gap we developed the Knowledge-driven Observational-Trial Harmonization Approach (KOTHA). The framework has three modules: Module K diagnoses structural information loss through counterfactual power simulation; Module T integrates discordant evidence through hierarchical Bayesian meta-analysis; and Module H translates quantitative findings into a GRADE-compatible evidence assessment. We describe the framework here and illustrate it with two canonical cases of observational-RCT divergence, focusing on implications for Phase II/III and enrichment-trial design.</w:t>
      </w:r>
    </w:p>
    <w:p>
      <w:pPr>
        <w:pStyle w:val="Heading2"/>
      </w:pPr>
      <w:r>
        <w:rPr>
          <w:rFonts w:ascii="Times New Roman" w:hAnsi="Times New Roman"/>
          <w:b/>
          <w:color w:val="000000"/>
          <w:sz w:val="24"/>
        </w:rPr>
        <w:t>2. Methods</w:t>
      </w:r>
    </w:p>
    <w:p>
      <w:pPr>
        <w:pStyle w:val="Heading3"/>
      </w:pPr>
      <w:r>
        <w:rPr>
          <w:rFonts w:ascii="Times New Roman" w:hAnsi="Times New Roman"/>
          <w:b/>
          <w:color w:val="000000"/>
          <w:sz w:val="24"/>
        </w:rPr>
        <w:t>Overview</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comprises three interconnected modules (Fig. 1). Module K (Counterfactual Power Simulation) quantifies how enrollment-driven risk-profile shifts reduce statistical power. Module T (Trial-Observational Bayesian Integration) combines RCT and observational evidence with explicit discounting for design-related bias. Module H (Guideline Interpreter) translates module outputs into a structured GRADE assessment. Each module can be used independently, but the framework is most informative when applied in sequence.</w:t>
      </w:r>
    </w:p>
    <w:p>
      <w:pPr>
        <w:jc w:val="center"/>
      </w:pPr>
      <w:r>
        <w:drawing>
          <wp:inline xmlns:a="http://schemas.openxmlformats.org/drawingml/2006/main" xmlns:pic="http://schemas.openxmlformats.org/drawingml/2006/picture">
            <wp:extent cx="5029200" cy="3537145"/>
            <wp:docPr id="1" name="Picture 1"/>
            <wp:cNvGraphicFramePr>
              <a:graphicFrameLocks noChangeAspect="1"/>
            </wp:cNvGraphicFramePr>
            <a:graphic>
              <a:graphicData uri="http://schemas.openxmlformats.org/drawingml/2006/picture">
                <pic:pic>
                  <pic:nvPicPr>
                    <pic:cNvPr id="0" name="fig1_framework_overview.png"/>
                    <pic:cNvPicPr/>
                  </pic:nvPicPr>
                  <pic:blipFill>
                    <a:blip r:embed="rId10"/>
                    <a:stretch>
                      <a:fillRect/>
                    </a:stretch>
                  </pic:blipFill>
                  <pic:spPr>
                    <a:xfrm>
                      <a:off x="0" y="0"/>
                      <a:ext cx="5029200" cy="3537145"/>
                    </a:xfrm>
                    <a:prstGeom prst="rect"/>
                  </pic:spPr>
                </pic:pic>
              </a:graphicData>
            </a:graphic>
          </wp:inline>
        </w:drawing>
      </w:r>
    </w:p>
    <w:p>
      <w:pPr>
        <w:jc w:val="left"/>
      </w:pPr>
      <w:r>
        <w:rPr>
          <w:rFonts w:ascii="Times New Roman" w:hAnsi="Times New Roman"/>
          <w:b/>
          <w:sz w:val="20"/>
        </w:rPr>
        <w:t xml:space="preserve">Figure 1. </w:t>
      </w:r>
      <w:r>
        <w:rPr>
          <w:rFonts w:ascii="Times New Roman" w:hAnsi="Times New Roman"/>
          <w:sz w:val="20"/>
        </w:rPr>
        <w:t>Overview of the KOTHA Framework. Module K (Counterfactual Power Simulation) quantifies risk-profile shift and estimates power under counterfactual enrollment scenarios. Module T (Bayesian Evidence Integration) combines RCT and observational evidence using power-prior discounting. Module H (Guideline Interpreter) synthesizes outputs into a structured GRADE-compatible assessment.</w:t>
      </w:r>
    </w:p>
    <w:p>
      <w:pPr>
        <w:pStyle w:val="Heading3"/>
      </w:pPr>
      <w:r>
        <w:rPr>
          <w:rFonts w:ascii="Times New Roman" w:hAnsi="Times New Roman"/>
          <w:b/>
          <w:color w:val="000000"/>
          <w:sz w:val="24"/>
        </w:rPr>
        <w:t>Module K: Counterfactual power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K asks: if the RCTs in a meta-analysis had enrolled patients with the risk profile of the real-world target population, would the combined evidence have been sufficient to detect the effect suggested by observational studies? The simulation component follows the ADEMP reporting structure </w:t>
      </w:r>
      <w:r>
        <w:rPr>
          <w:rFonts w:ascii="Times New Roman" w:hAnsi="Times New Roman" w:cs="Times New Roman" w:eastAsia="Times New Roman"/>
          <w:sz w:val="24"/>
          <w:szCs w:val="24"/>
        </w:rPr>
        <w:t xml:space="preserve">[10]</w:t>
      </w:r>
      <w:r>
        <w:rPr>
          <w:rFonts w:ascii="Times New Roman" w:hAnsi="Times New Roman" w:cs="Times New Roman" w:eastAsia="Times New Roman"/>
          <w:sz w:val="24"/>
          <w:szCs w:val="24"/>
        </w:rPr>
        <w:t xml:space="preserve">: aims (quantify information loss from enrollment-driven risk-profile shifts), data-generating process (published aggregate event counts and sample sizes), estimands (counterfactual power under S1-S3), methods (Schoenfeld approximation with proportional-hazards data handled via the log-HR/log-OR equivalence under rare events), and performance measures (power across a grid of true effects and required sample size).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We define three enrollment scenarios: S1 (real-world target population, approximated by a representative retrospective cohort or published aggregate event rates); S2 (RCT-enrolled equivalent, defined by applying published eligibility criteria to the retrospective cohort or using observed RCT event rates); and S3 (design-optimized, incorporating prognostic enrichment).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each scenario, we compute the expected control event rate</w:t>
      </w:r>
      <w:r>
        <w:rPr>
          <w:rFonts w:ascii="Times New Roman" w:hAnsi="Times New Roman" w:cs="Times New Roman" w:eastAsia="Times New Roman"/>
          <w:sz w:val="24"/>
          <w:szCs w:val="24"/>
        </w:rPr>
        <w:t xml:space="preserve"> </w:t>
      </w:r>
      <m:oMath>
        <m:sSub>
          <m:e>
            <m:r>
              <m:t>p</m:t>
            </m:r>
          </m:e>
          <m:sub>
            <m:r>
              <m:t>c</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treatment event rate</w:t>
      </w:r>
      <w:r>
        <w:rPr>
          <w:rFonts w:ascii="Times New Roman" w:hAnsi="Times New Roman" w:cs="Times New Roman" w:eastAsia="Times New Roman"/>
          <w:sz w:val="24"/>
          <w:szCs w:val="24"/>
        </w:rPr>
        <w:t xml:space="preserve"> </w:t>
      </w:r>
      <m:oMath>
        <m:sSub>
          <m:e>
            <m:r>
              <m:t>p</m:t>
            </m:r>
          </m:e>
          <m:sub>
            <m:r>
              <m:t>t</m:t>
            </m:r>
          </m:sub>
        </m:sSub>
        <m:r>
          <m:rPr>
            <m:sty m:val="p"/>
          </m:rPr>
          <m:t>=</m:t>
        </m:r>
        <m:d>
          <m:dPr>
            <m:begChr m:val="("/>
            <m:endChr m:val=")"/>
            <m:sepChr m:val=""/>
            <m:grow/>
          </m:dPr>
          <m:e>
            <m:sSub>
              <m:e>
                <m:r>
                  <m:t>p</m:t>
                </m:r>
              </m:e>
              <m:sub>
                <m:r>
                  <m:t>c</m:t>
                </m:r>
              </m:sub>
            </m:sSub>
            <m:r>
              <m:rPr>
                <m:sty m:val="p"/>
              </m:rPr>
              <m:t>⋅</m:t>
            </m:r>
            <m:r>
              <m:rPr>
                <m:nor/>
                <m:sty m:val="p"/>
              </m:rPr>
              <m:t>OR</m:t>
            </m:r>
          </m:e>
        </m:d>
        <m:r>
          <m:rPr>
            <m:sty m:val="p"/>
          </m:rPr>
          <m:t>/</m:t>
        </m:r>
        <m:d>
          <m:dPr>
            <m:begChr m:val="("/>
            <m:endChr m:val=")"/>
            <m:sepChr m:val=""/>
            <m:grow/>
          </m:dPr>
          <m:e>
            <m:r>
              <m:t>1</m:t>
            </m:r>
            <m:r>
              <m:rPr>
                <m:sty m:val="p"/>
              </m:rPr>
              <m:t>−</m:t>
            </m:r>
            <m:sSub>
              <m:e>
                <m:r>
                  <m:t>p</m:t>
                </m:r>
              </m:e>
              <m:sub>
                <m:r>
                  <m:t>c</m:t>
                </m:r>
              </m:sub>
            </m:sSub>
            <m:r>
              <m:rPr>
                <m:sty m:val="p"/>
              </m:rPr>
              <m:t>+</m:t>
            </m:r>
            <m:sSub>
              <m:e>
                <m:r>
                  <m:t>p</m:t>
                </m:r>
              </m:e>
              <m:sub>
                <m:r>
                  <m:t>c</m:t>
                </m:r>
              </m:sub>
            </m:sSub>
            <m:r>
              <m:rPr>
                <m:sty m:val="p"/>
              </m:rPr>
              <m:t>⋅</m:t>
            </m:r>
            <m:r>
              <m:rPr>
                <m:nor/>
                <m:sty m:val="p"/>
              </m:rPr>
              <m:t>OR</m:t>
            </m:r>
          </m:e>
        </m:d>
      </m:oMath>
      <w:r>
        <w:rPr>
          <w:rFonts w:ascii="Times New Roman" w:hAnsi="Times New Roman" w:cs="Times New Roman" w:eastAsia="Times New Roman"/>
          <w:sz w:val="24"/>
          <w:szCs w:val="24"/>
        </w:rPr>
        <w:t xml:space="preserve">. The total expected number of events is</w:t>
      </w:r>
      <w:r>
        <w:rPr>
          <w:rFonts w:ascii="Times New Roman" w:hAnsi="Times New Roman" w:cs="Times New Roman" w:eastAsia="Times New Roman"/>
          <w:sz w:val="24"/>
          <w:szCs w:val="24"/>
        </w:rPr>
        <w:t xml:space="preserve"> </w:t>
      </w:r>
      <m:oMath>
        <m:r>
          <m:t>D</m:t>
        </m:r>
        <m:r>
          <m:rPr>
            <m:sty m:val="p"/>
          </m:rPr>
          <m:t>=</m:t>
        </m:r>
        <m:r>
          <m:t>N</m:t>
        </m:r>
        <m:d>
          <m:dPr>
            <m:begChr m:val="("/>
            <m:endChr m:val=")"/>
            <m:sepChr m:val=""/>
            <m:grow/>
          </m:dPr>
          <m:e>
            <m:sSub>
              <m:e>
                <m:r>
                  <m:t>p</m:t>
                </m:r>
              </m:e>
              <m:sub>
                <m:r>
                  <m:t>c</m:t>
                </m:r>
              </m:sub>
            </m:sSub>
            <m:r>
              <m:rPr>
                <m:sty m:val="p"/>
              </m:rPr>
              <m:t>+</m:t>
            </m:r>
            <m:sSub>
              <m:e>
                <m:r>
                  <m:t>p</m:t>
                </m:r>
              </m:e>
              <m:sub>
                <m:r>
                  <m:t>t</m:t>
                </m:r>
              </m:sub>
            </m:sSub>
          </m:e>
        </m:d>
        <m:r>
          <m:rPr>
            <m:sty m:val="p"/>
          </m:rPr>
          <m:t>/</m:t>
        </m:r>
        <m:r>
          <m:t>2</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a trial of</w:t>
      </w:r>
      <w:r>
        <w:rPr>
          <w:rFonts w:ascii="Times New Roman" w:hAnsi="Times New Roman" w:cs="Times New Roman" w:eastAsia="Times New Roman"/>
          <w:sz w:val="24"/>
          <w:szCs w:val="24"/>
        </w:rPr>
        <w:t xml:space="preserve"> </w:t>
      </w:r>
      <m:oMath>
        <m:r>
          <m:t>N</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2</m:t>
        </m:r>
        <m:r>
          <m:rPr>
            <m:sty m:val="p"/>
          </m:rPr>
          <m:t>/</m:t>
        </m:r>
        <m:rad>
          <m:radPr>
            <m:degHide m:val="on"/>
          </m:radPr>
          <m:deg/>
          <m:e>
            <m:r>
              <m:t>D</m:t>
            </m:r>
          </m:e>
        </m:rad>
      </m:oMath>
      <w:r>
        <w:rPr>
          <w:rFonts w:ascii="Times New Roman" w:hAnsi="Times New Roman" w:cs="Times New Roman" w:eastAsia="Times New Roman"/>
          <w:sz w:val="24"/>
          <w:szCs w:val="24"/>
        </w:rPr>
        <w:t xml:space="preserve">, yielding the power function</w:t>
      </w:r>
      <w:r>
        <w:rPr>
          <w:rFonts w:ascii="Times New Roman" w:hAnsi="Times New Roman" w:cs="Times New Roman" w:eastAsia="Times New Roman"/>
          <w:sz w:val="24"/>
          <w:szCs w:val="24"/>
        </w:rPr>
        <w:t xml:space="preserve">patients randomized 1:1. Under the Schoenfeld approximation </w:t>
      </w:r>
      <w:r>
        <w:rPr>
          <w:rFonts w:ascii="Times New Roman" w:hAnsi="Times New Roman" w:cs="Times New Roman" w:eastAsia="Times New Roman"/>
          <w:sz w:val="24"/>
          <w:szCs w:val="24"/>
        </w:rPr>
        <w:t xml:space="preserve">[11]</w:t>
      </w:r>
      <w:r>
        <w:rPr>
          <w:rFonts w:ascii="Times New Roman" w:hAnsi="Times New Roman" w:cs="Times New Roman" w:eastAsia="Times New Roman"/>
          <w:sz w:val="24"/>
          <w:szCs w:val="24"/>
        </w:rPr>
        <w:t xml:space="preserve">, the standard error of the log relative effect (log-OR or log-HR under proportional hazards) is approximately</w:t>
      </w:r>
    </w:p>
    <w:p xmlns:a="http://schemas.openxmlformats.org/drawingml/2006/main" xmlns:pic="http://schemas.openxmlformats.org/drawingml/2006/picture">
      <w:pPr>
        <w:pStyle w:val="Normal"/>
        <w:jc w:val="center"/>
        <w:spacing w:line="480" w:lineRule="auto" w:after="120"/>
      </w:pPr>
      <m:oMathPara>
        <m:oMathParaPr>
          <m:jc m:val="center"/>
        </m:oMathParaPr>
        <m:oMath>
          <m:r>
            <m:rPr>
              <m:nor/>
              <m:sty m:val="p"/>
            </m:rPr>
            <m:t>Power</m:t>
          </m:r>
          <m:r>
            <m:rPr>
              <m:sty m:val="p"/>
            </m:rPr>
            <m:t>=</m:t>
          </m:r>
          <m:r>
            <m:t>Φ</m:t>
          </m:r>
          <m:d>
            <m:dPr>
              <m:begChr m:val="("/>
              <m:endChr m:val=")"/>
              <m:sepChr m:val=""/>
              <m:grow/>
            </m:dPr>
            <m:e>
              <m:d>
                <m:dPr>
                  <m:begChr m:val="|"/>
                  <m:endChr m:val="|"/>
                  <m:sepChr m:val=""/>
                  <m:grow/>
                </m:dPr>
                <m:e>
                  <m:r>
                    <m:rPr>
                      <m:sty m:val="p"/>
                    </m:rPr>
                    <m:t>log</m:t>
                  </m:r>
                  <m:d>
                    <m:dPr>
                      <m:begChr m:val="("/>
                      <m:endChr m:val=")"/>
                      <m:sepChr m:val=""/>
                      <m:grow/>
                    </m:dPr>
                    <m:e>
                      <m:r>
                        <m:rPr>
                          <m:nor/>
                          <m:sty m:val="p"/>
                        </m:rPr>
                        <m:t>OR or HR</m:t>
                      </m:r>
                    </m:e>
                  </m:d>
                </m:e>
              </m:d>
              <m:r>
                <m:rPr>
                  <m:sty m:val="p"/>
                </m:rPr>
                <m:t>⋅</m:t>
              </m:r>
              <m:rad>
                <m:radPr>
                  <m:degHide m:val="on"/>
                </m:radPr>
                <m:deg/>
                <m:e>
                  <m:r>
                    <m:t>D</m:t>
                  </m:r>
                </m:e>
              </m:rad>
              <m:r>
                <m:rPr>
                  <m:sty m:val="p"/>
                </m:rPr>
                <m:t>/</m:t>
              </m:r>
              <m:r>
                <m:t>2</m:t>
              </m:r>
              <m:r>
                <m:rPr>
                  <m:sty m:val="p"/>
                </m:rPr>
                <m:t>−</m:t>
              </m:r>
              <m:sSub>
                <m:e>
                  <m:r>
                    <m:t>z</m:t>
                  </m:r>
                </m:e>
                <m:sub>
                  <m:r>
                    <m:t>α</m:t>
                  </m:r>
                  <m:r>
                    <m:rPr>
                      <m:sty m:val="p"/>
                    </m:rPr>
                    <m:t>/</m:t>
                  </m:r>
                  <m:r>
                    <m:t>2</m:t>
                  </m:r>
                </m:sub>
              </m:sSub>
            </m:e>
          </m:d>
        </m:oMath>
      </m:oMathPara>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where</w:t>
      </w:r>
      <w:r>
        <w:rPr>
          <w:rFonts w:ascii="Times New Roman" w:hAnsi="Times New Roman" w:cs="Times New Roman" w:eastAsia="Times New Roman"/>
          <w:sz w:val="24"/>
          <w:szCs w:val="24"/>
        </w:rPr>
        <w:t xml:space="preserve"> </w:t>
      </w:r>
      <m:oMath>
        <m:r>
          <m:t>Φ</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the standard normal cumulative distribution function. The ratio</w:t>
      </w:r>
      <w:r>
        <w:rPr>
          <w:rFonts w:ascii="Times New Roman" w:hAnsi="Times New Roman" w:cs="Times New Roman" w:eastAsia="Times New Roman"/>
          <w:sz w:val="24"/>
          <w:szCs w:val="24"/>
        </w:rPr>
        <w:t xml:space="preserve"> </w:t>
      </w:r>
      <m:oMath>
        <m:r>
          <m:t>ρ</m:t>
        </m:r>
        <m:r>
          <m:rPr>
            <m:sty m:val="p"/>
          </m:rPr>
          <m:t>=</m:t>
        </m:r>
        <m:sSubSup>
          <m:e>
            <m:r>
              <m:t>p</m:t>
            </m:r>
          </m:e>
          <m:sub>
            <m:r>
              <m:t>c</m:t>
            </m:r>
          </m:sub>
          <m:sup>
            <m:d>
              <m:dPr>
                <m:begChr m:val="("/>
                <m:endChr m:val=")"/>
                <m:sepChr m:val=""/>
                <m:grow/>
              </m:dPr>
              <m:e>
                <m:r>
                  <m:t>S</m:t>
                </m:r>
                <m:r>
                  <m:t>2</m:t>
                </m:r>
              </m:e>
            </m:d>
          </m:sup>
        </m:sSubSup>
        <m:r>
          <m:rPr>
            <m:sty m:val="p"/>
          </m:rPr>
          <m:t>/</m:t>
        </m:r>
        <m:sSubSup>
          <m:e>
            <m:r>
              <m:t>p</m:t>
            </m:r>
          </m:e>
          <m:sub>
            <m:r>
              <m:t>c</m:t>
            </m:r>
          </m:sub>
          <m:sup>
            <m:d>
              <m:dPr>
                <m:begChr m:val="("/>
                <m:endChr m:val=")"/>
                <m:sepChr m:val=""/>
                <m:grow/>
              </m:dPr>
              <m:e>
                <m:r>
                  <m:t>S</m:t>
                </m:r>
                <m:r>
                  <m:t>1</m:t>
                </m:r>
              </m:e>
            </m:d>
          </m:sup>
        </m:sSub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quantifies event dilution. Module K reports power across a grid of assumed true effects and computes the sample size required to reach 80% power under each scenario. For the statins case, which reports hazard ratios, the hazard ratio is approximated by an odds ratio under the rare-event assumption and crude control event proportions derived from the aggregate data are used as approximate event probabilities; this comparison is intended to illustrate the relative power loss across enrollment scenarios rather than to provide exact sample-size estimates for a specific follow-up duration.</w:t>
      </w:r>
    </w:p>
    <w:p>
      <w:pPr>
        <w:pStyle w:val="Heading3"/>
      </w:pPr>
      <w:r>
        <w:rPr>
          <w:rFonts w:ascii="Times New Roman" w:hAnsi="Times New Roman"/>
          <w:b/>
          <w:color w:val="000000"/>
          <w:sz w:val="24"/>
        </w:rPr>
        <w:t>Module T: Hierarchical Bayesian evidence integration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When Module K indicates that RCT evidence is informationally insufficient, Module T combines RCT and observational evidence while discounting the observational likelihood for potential design-specific bias. Let</w:t>
      </w:r>
      <w:r>
        <w:rPr>
          <w:rFonts w:ascii="Times New Roman" w:hAnsi="Times New Roman" w:cs="Times New Roman" w:eastAsia="Times New Roman"/>
          <w:sz w:val="24"/>
          <w:szCs w:val="24"/>
        </w:rPr>
        <w:t xml:space="preserve"> </w:t>
      </w:r>
      <m:oMath>
        <m:sSub>
          <m:e>
            <m:r>
              <m:t>y</m:t>
            </m:r>
          </m:e>
          <m:sub>
            <m:r>
              <m:t>i</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denote the reported log effect size from study</w:t>
      </w:r>
      <w:r>
        <w:rPr>
          <w:rFonts w:ascii="Times New Roman" w:hAnsi="Times New Roman" w:cs="Times New Roman" w:eastAsia="Times New Roman"/>
          <w:sz w:val="24"/>
          <w:szCs w:val="24"/>
        </w:rPr>
        <w:t xml:space="preserve"> </w:t>
      </w:r>
      <m:oMath>
        <m:r>
          <m:t>i</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standard error</w:t>
      </w:r>
      <w:r>
        <w:rPr>
          <w:rFonts w:ascii="Times New Roman" w:hAnsi="Times New Roman" w:cs="Times New Roman" w:eastAsia="Times New Roman"/>
          <w:sz w:val="24"/>
          <w:szCs w:val="24"/>
        </w:rPr>
        <w:t xml:space="preserve"> </w:t>
      </w:r>
      <m:oMath>
        <m:sSub>
          <m:e>
            <m:r>
              <m:t>s</m:t>
            </m:r>
          </m:e>
          <m:sub>
            <m:r>
              <m:t>i</m:t>
            </m:r>
          </m:sub>
        </m:sSub>
      </m:oMath>
      <w:r>
        <w:rPr>
          <w:rFonts w:ascii="Times New Roman" w:hAnsi="Times New Roman" w:cs="Times New Roman" w:eastAsia="Times New Roman"/>
          <w:sz w:val="24"/>
          <w:szCs w:val="24"/>
        </w:rPr>
        <w:t xml:space="preserve">. The RCT evidence contributes its full likelihood; the observational evidence contributes a power-prior-discounted likelihood with factor</w:t>
      </w:r>
      <w:r>
        <w:rPr>
          <w:rFonts w:ascii="Times New Roman" w:hAnsi="Times New Roman" w:cs="Times New Roman" w:eastAsia="Times New Roman"/>
          <w:sz w:val="24"/>
          <w:szCs w:val="24"/>
        </w:rPr>
        <w:t xml:space="preserve"> </w:t>
      </w:r>
      <m:oMath>
        <m:r>
          <m:t>α</m:t>
        </m:r>
        <m:r>
          <m:rPr>
            <m:sty m:val="p"/>
          </m:rPr>
          <m:t>∈</m:t>
        </m:r>
        <m:d>
          <m:dPr>
            <m:begChr m:val="["/>
            <m:endChr m:val="]"/>
            <m:sepChr m:val=""/>
            <m:grow/>
          </m:dPr>
          <m:e>
            <m:r>
              <m:t>0</m:t>
            </m:r>
            <m:r>
              <m:rPr>
                <m:sty m:val="p"/>
              </m:rPr>
              <m:t>,</m:t>
            </m:r>
            <m:r>
              <m:t>1</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α</m:t>
        </m:r>
        <m:r>
          <m:rPr>
            <m:sty m:val="p"/>
          </m:rPr>
          <m:t>=</m:t>
        </m:r>
        <m:r>
          <m:t>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retains only RCTs and</w:t>
      </w:r>
      <w:r>
        <w:rPr>
          <w:rFonts w:ascii="Times New Roman" w:hAnsi="Times New Roman" w:cs="Times New Roman" w:eastAsia="Times New Roman"/>
          <w:sz w:val="24"/>
          <w:szCs w:val="24"/>
        </w:rPr>
        <w:t xml:space="preserve"> </w:t>
      </w:r>
      <m:oMath>
        <m:r>
          <m:t>α</m:t>
        </m:r>
        <m:r>
          <m:rPr>
            <m:sty m:val="p"/>
          </m:rPr>
          <m:t>=</m:t>
        </m:r>
        <m:r>
          <m:t>1</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gives observational data full weight. Between-study heterogeneity is modeled with a random-effects distribution</w:t>
      </w:r>
      <w:r>
        <w:rPr>
          <w:rFonts w:ascii="Times New Roman" w:hAnsi="Times New Roman" w:cs="Times New Roman" w:eastAsia="Times New Roman"/>
          <w:sz w:val="24"/>
          <w:szCs w:val="24"/>
        </w:rPr>
        <w:t xml:space="preserve"> </w:t>
      </w:r>
      <m:oMath>
        <m:sSub>
          <m:e>
            <m:r>
              <m:t>u</m:t>
            </m:r>
          </m:e>
          <m:sub>
            <m:r>
              <m:t>i</m:t>
            </m:r>
          </m:sub>
        </m:sSub>
        <m:r>
          <m:rPr>
            <m:sty m:val="p"/>
          </m:rPr>
          <m:t>∼</m:t>
        </m:r>
        <m:r>
          <m:rPr>
            <m:nor/>
            <m:sty m:val="p"/>
          </m:rPr>
          <m:t>Normal</m:t>
        </m:r>
        <m:d>
          <m:dPr>
            <m:begChr m:val="("/>
            <m:endChr m:val=")"/>
            <m:sepChr m:val=""/>
            <m:grow/>
          </m:dPr>
          <m:e>
            <m:r>
              <m:t>0</m:t>
            </m:r>
            <m:r>
              <m:rPr>
                <m:sty m:val="p"/>
              </m:rPr>
              <m:t>,</m:t>
            </m:r>
            <m:sSup>
              <m:e>
                <m:r>
                  <m:t>τ</m:t>
                </m:r>
              </m:e>
              <m:sup>
                <m:r>
                  <m:t>2</m:t>
                </m:r>
              </m:sup>
            </m:sSup>
          </m:e>
        </m:d>
      </m:oMath>
      <w:r>
        <w:rPr>
          <w:rFonts w:ascii="Times New Roman" w:hAnsi="Times New Roman" w:cs="Times New Roman" w:eastAsia="Times New Roman"/>
          <w:sz w:val="24"/>
          <w:szCs w:val="24"/>
        </w:rPr>
        <w:t xml:space="preserve">. We used weakly informative priors</w:t>
      </w:r>
      <w:r>
        <w:rPr>
          <w:rFonts w:ascii="Times New Roman" w:hAnsi="Times New Roman" w:cs="Times New Roman" w:eastAsia="Times New Roman"/>
          <w:sz w:val="24"/>
          <w:szCs w:val="24"/>
        </w:rPr>
        <w:t xml:space="preserve"> </w:t>
      </w:r>
      <m:oMath>
        <m:r>
          <m:t>μ</m:t>
        </m:r>
        <m:r>
          <m:rPr>
            <m:sty m:val="p"/>
          </m:rPr>
          <m:t>∼</m:t>
        </m:r>
        <m:r>
          <m:t>N</m:t>
        </m:r>
        <m:d>
          <m:dPr>
            <m:begChr m:val="("/>
            <m:endChr m:val=")"/>
            <m:sepChr m:val=""/>
            <m:grow/>
          </m:dPr>
          <m:e>
            <m:r>
              <m:t>0</m:t>
            </m:r>
            <m:r>
              <m:rPr>
                <m:sty m:val="p"/>
              </m:rPr>
              <m:t>,</m:t>
            </m:r>
            <m:sSup>
              <m:e>
                <m:r>
                  <m:t>10</m:t>
                </m:r>
              </m:e>
              <m:sup>
                <m:r>
                  <m:t>2</m:t>
                </m:r>
              </m:sup>
            </m:sSup>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population mean log effect and</w:t>
      </w:r>
      <w:r>
        <w:rPr>
          <w:rFonts w:ascii="Times New Roman" w:hAnsi="Times New Roman" w:cs="Times New Roman" w:eastAsia="Times New Roman"/>
          <w:sz w:val="24"/>
          <w:szCs w:val="24"/>
        </w:rPr>
        <w:t xml:space="preserve"> </w:t>
      </w:r>
      <m:oMath>
        <m:r>
          <m:t>τ</m:t>
        </m:r>
        <m:r>
          <m:rPr>
            <m:sty m:val="p"/>
          </m:rPr>
          <m:t>∼</m:t>
        </m:r>
        <m:r>
          <m:rPr>
            <m:nor/>
            <m:sty m:val="p"/>
          </m:rPr>
          <m:t>Half-Cauchy</m:t>
        </m:r>
        <m:d>
          <m:dPr>
            <m:begChr m:val="("/>
            <m:endChr m:val=")"/>
            <m:sepChr m:val=""/>
            <m:grow/>
          </m:dPr>
          <m:e>
            <m:r>
              <m:t>0</m:t>
            </m:r>
            <m:r>
              <m:rPr>
                <m:sty m:val="p"/>
              </m:rPr>
              <m:t>,</m:t>
            </m:r>
            <m:r>
              <m:t>0.5</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between-study standard deviation, with</w:t>
      </w:r>
      <w:r>
        <w:rPr>
          <w:rFonts w:ascii="Times New Roman" w:hAnsi="Times New Roman" w:cs="Times New Roman" w:eastAsia="Times New Roman"/>
          <w:sz w:val="24"/>
          <w:szCs w:val="24"/>
        </w:rPr>
        <w:t xml:space="preserve"> </w:t>
      </w:r>
      <m:oMath>
        <m:r>
          <m:t>τ</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bounded between</w:t>
      </w:r>
      <w:r>
        <w:rPr>
          <w:rFonts w:ascii="Times New Roman" w:hAnsi="Times New Roman" w:cs="Times New Roman" w:eastAsia="Times New Roman"/>
          <w:sz w:val="24"/>
          <w:szCs w:val="24"/>
        </w:rPr>
        <w:t xml:space="preserve"> </w:t>
      </w:r>
      <m:oMath>
        <m:sSup>
          <m:e>
            <m:r>
              <m:t>10</m:t>
            </m:r>
          </m:e>
          <m:sup>
            <m:r>
              <m:rPr>
                <m:sty m:val="p"/>
              </m:rPr>
              <m:t>−</m:t>
            </m:r>
            <m:r>
              <m:t>9</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w:t>
      </w:r>
      <w:r>
        <w:rPr>
          <w:rFonts w:ascii="Times New Roman" w:hAnsi="Times New Roman" w:cs="Times New Roman" w:eastAsia="Times New Roman"/>
          <w:sz w:val="24"/>
          <w:szCs w:val="24"/>
        </w:rPr>
        <w:t xml:space="preserve"> </w:t>
      </w:r>
      <m:oMath>
        <m:r>
          <m:t>100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w:t>
      </w:r>
      <w:r>
        <w:rPr>
          <w:rFonts w:ascii="Times New Roman" w:hAnsi="Times New Roman" w:cs="Times New Roman" w:eastAsia="Times New Roman"/>
          <w:sz w:val="24"/>
          <w:szCs w:val="24"/>
        </w:rPr>
        <w:t xml:space="preserve"> </w:t>
      </w:r>
      <m:oMath>
        <m:d>
          <m:dPr>
            <m:begChr m:val="("/>
            <m:endChr m:val=")"/>
            <m:sepChr m:val=""/>
            <m:grow/>
          </m:dPr>
          <m:e>
            <m:r>
              <m:t>0</m:t>
            </m:r>
            <m:r>
              <m:rPr>
                <m:sty m:val="p"/>
              </m:rPr>
              <m:t>,</m:t>
            </m:r>
            <m:r>
              <m:t>0.1</m:t>
            </m:r>
            <m:r>
              <m:rPr>
                <m:sty m:val="p"/>
              </m:rPr>
              <m:t>,</m:t>
            </m:r>
            <m:r>
              <m:t>0.2</m:t>
            </m:r>
            <m:r>
              <m:rPr>
                <m:sty m:val="p"/>
              </m:rPr>
              <m:t>,</m:t>
            </m:r>
            <m:r>
              <m:t>0.3</m:t>
            </m:r>
            <m:r>
              <m:rPr>
                <m:sty m:val="p"/>
              </m:rPr>
              <m:t>,</m:t>
            </m:r>
            <m:r>
              <m:t>0.5</m:t>
            </m:r>
            <m:r>
              <m:rPr>
                <m:sty m:val="p"/>
              </m:rPr>
              <m:t>,</m:t>
            </m:r>
            <m:r>
              <m:t>0.7</m:t>
            </m:r>
            <m:r>
              <m:rPr>
                <m:sty m:val="p"/>
              </m:rPr>
              <m:t>,</m:t>
            </m:r>
            <m:r>
              <m:t>1.0</m:t>
            </m:r>
          </m:e>
        </m:d>
      </m:oMath>
      <w:r>
        <w:rPr>
          <w:rFonts w:ascii="Times New Roman" w:hAnsi="Times New Roman" w:cs="Times New Roman" w:eastAsia="Times New Roman"/>
          <w:sz w:val="24"/>
          <w:szCs w:val="24"/>
        </w:rPr>
        <w:t xml:space="preserve">. Convergence was assessed with split-R-hat and effective sample size (ESS) for the population mean log effect and the between-study heterogeneity, using accepted thresholds (split-R-hat &lt; 1.05; ESS per parameter &gt; 400). Trace plots for selected chains are provided as Supplementary Figures S1a (magnesium) and S1b (statins) and showed no obvious non-stationarity. Across all discounting factors the minimum ESS was 972 and the maximum split-R-hat was 1.024, both satisfying the convergence criteria. We report the full grid to show sensitivity and use</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as an illustrative moderate-discounting value without claiming it is universally optimal.</w:t>
      </w:r>
      <w:r>
        <w:rPr>
          <w:rFonts w:ascii="Times New Roman" w:hAnsi="Times New Roman" w:cs="Times New Roman" w:eastAsia="Times New Roman"/>
          <w:sz w:val="24"/>
          <w:szCs w:val="24"/>
        </w:rPr>
        <w:t xml:space="preserve">[12]</w:t>
      </w:r>
      <w:r>
        <w:rPr>
          <w:rFonts w:ascii="Times New Roman" w:hAnsi="Times New Roman" w:cs="Times New Roman" w:eastAsia="Times New Roman"/>
          <w:sz w:val="24"/>
          <w:szCs w:val="24"/>
        </w:rPr>
        <w:t xml:space="preserve">, so that</w:t>
      </w:r>
      <w:r>
        <w:rPr>
          <w:rFonts w:ascii="Times New Roman" w:hAnsi="Times New Roman" w:cs="Times New Roman" w:eastAsia="Times New Roman"/>
          <w:sz w:val="24"/>
          <w:szCs w:val="24"/>
        </w:rPr>
        <w:t xml:space="preserve">for numerical stability. Alternative effect measures such as restricted mean survival time can be substituted when proportional-hazards assumptions are questionable </w:t>
      </w:r>
      <w:r>
        <w:rPr>
          <w:rFonts w:ascii="Times New Roman" w:hAnsi="Times New Roman" w:cs="Times New Roman" w:eastAsia="Times New Roman"/>
          <w:sz w:val="24"/>
          <w:szCs w:val="24"/>
        </w:rPr>
        <w:t xml:space="preserve">[13-14]</w:t>
      </w:r>
      <w:r>
        <w:rPr>
          <w:rFonts w:ascii="Times New Roman" w:hAnsi="Times New Roman" w:cs="Times New Roman" w:eastAsia="Times New Roman"/>
          <w:sz w:val="24"/>
          <w:szCs w:val="24"/>
        </w:rPr>
        <w:t xml:space="preserve">. Evidence-based priors have been proposed to anchor historical expectations while limiting prior-data conflict </w:t>
      </w:r>
      <w:r>
        <w:rPr>
          <w:rFonts w:ascii="Times New Roman" w:hAnsi="Times New Roman" w:cs="Times New Roman" w:eastAsia="Times New Roman"/>
          <w:sz w:val="24"/>
          <w:szCs w:val="24"/>
        </w:rPr>
        <w:t xml:space="preserve">[15]</w:t>
      </w:r>
      <w:r>
        <w:rPr>
          <w:rFonts w:ascii="Times New Roman" w:hAnsi="Times New Roman" w:cs="Times New Roman" w:eastAsia="Times New Roman"/>
          <w:sz w:val="24"/>
          <w:szCs w:val="24"/>
        </w:rPr>
        <w:t xml:space="preserve">. We also present bias-adjusted normal-approximation analyses as a sensitivity check. Posterior distributions are sampled with an affine-invariant ensemble MCMC </w:t>
      </w:r>
      <w:r>
        <w:rPr>
          <w:rFonts w:ascii="Times New Roman" w:hAnsi="Times New Roman" w:cs="Times New Roman" w:eastAsia="Times New Roman"/>
          <w:sz w:val="24"/>
          <w:szCs w:val="24"/>
        </w:rPr>
        <w:t xml:space="preserve">[16]</w:t>
      </w:r>
      <w:r>
        <w:rPr>
          <w:rFonts w:ascii="Times New Roman" w:hAnsi="Times New Roman" w:cs="Times New Roman" w:eastAsia="Times New Roman"/>
          <w:sz w:val="24"/>
          <w:szCs w:val="24"/>
        </w:rPr>
        <w:t xml:space="preserve"> using 16 walkers, 1,000 warmup and 4,000 post-warmup iterations per walker, for each</w:t>
      </w:r>
    </w:p>
    <w:p>
      <w:pPr>
        <w:pStyle w:val="Heading3"/>
      </w:pPr>
      <w:r>
        <w:rPr>
          <w:rFonts w:ascii="Times New Roman" w:hAnsi="Times New Roman"/>
          <w:b/>
          <w:color w:val="000000"/>
          <w:sz w:val="24"/>
        </w:rPr>
        <w:t>Module H: Guideline interpretation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H maps the outputs of Modules K and T onto the GRADE framework </w:t>
      </w:r>
      <w:r>
        <w:rPr>
          <w:rFonts w:ascii="Times New Roman" w:hAnsi="Times New Roman" w:cs="Times New Roman" w:eastAsia="Times New Roman"/>
          <w:sz w:val="24"/>
          <w:szCs w:val="24"/>
        </w:rPr>
        <w:t xml:space="preserve">[1]</w:t>
      </w:r>
      <w:r>
        <w:rPr>
          <w:rFonts w:ascii="Times New Roman" w:hAnsi="Times New Roman" w:cs="Times New Roman" w:eastAsia="Times New Roman"/>
          <w:sz w:val="24"/>
          <w:szCs w:val="24"/>
        </w:rPr>
        <w:t xml:space="preserve">. It includes five assessments (Supplementary Table S4): information sufficiency (OIS vs observed events), confidence interval interpretation, representativeness (event rate ratio), TSA boundary status, and recommended language. For CI interpretation, we used relative effect boundaries of 0.80 and 1.25 to define clinically important benefit and harm. For representativeness, event-rate ratios below 0.67 or above 1.50 (a relative shift of 50% or more) are classified as serious indirectness, and ratios below 0.80 or above 1.25 (a relative shift of 25% or more) as moderate indirectness. These thresholds correspond to conventional boundaries for clinically important relative effects. The result is a KOTHA-enhanced certainty rating and recommendation that explicitly distinguishes "evidence of effect," "evidence of no effect," and "no evidence of effect (inconsistent or indirect)."</w:t>
      </w:r>
    </w:p>
    <w:p>
      <w:pPr>
        <w:pStyle w:val="Heading3"/>
      </w:pPr>
      <w:r>
        <w:rPr>
          <w:rFonts w:ascii="Times New Roman" w:hAnsi="Times New Roman"/>
          <w:b/>
          <w:color w:val="000000"/>
          <w:sz w:val="24"/>
        </w:rPr>
        <w:t>Formal causal model and operating-characteristics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quantify the operating characteristics of the KOTHA evidence combination rule, we specified a transparent data-generating process that mimics the two empirical cases. Let</w:t>
      </w:r>
      <w:r>
        <w:rPr>
          <w:rFonts w:ascii="Times New Roman" w:hAnsi="Times New Roman" w:cs="Times New Roman" w:eastAsia="Times New Roman"/>
          <w:sz w:val="24"/>
          <w:szCs w:val="24"/>
        </w:rPr>
        <w:t xml:space="preserve"> </w:t>
      </w:r>
      <m:oMath>
        <m:sSub>
          <m:e>
            <m:r>
              <m:t>Z</m:t>
            </m:r>
          </m:e>
          <m:sub>
            <m:r>
              <m:t>i</m:t>
            </m:r>
          </m:sub>
        </m:sSub>
        <m:r>
          <m:rPr>
            <m:sty m:val="p"/>
          </m:rPr>
          <m:t>∼</m:t>
        </m:r>
        <m:r>
          <m:rPr>
            <m:nor/>
            <m:sty m:val="p"/>
          </m:rPr>
          <m:t>Logit-Normal</m:t>
        </m:r>
        <m:d>
          <m:dPr>
            <m:begChr m:val="("/>
            <m:endChr m:val=")"/>
            <m:sepChr m:val=""/>
            <m:grow/>
          </m:dPr>
          <m:e>
            <m:sSub>
              <m:e>
                <m:r>
                  <m:t>μ</m:t>
                </m:r>
              </m:e>
              <m:sub>
                <m:r>
                  <m:t>Z</m:t>
                </m:r>
              </m:sub>
            </m:sSub>
            <m:r>
              <m:rPr>
                <m:sty m:val="p"/>
              </m:rPr>
              <m:t>,</m:t>
            </m:r>
            <m:sSubSup>
              <m:e>
                <m:r>
                  <m:t>σ</m:t>
                </m:r>
              </m:e>
              <m:sub>
                <m:r>
                  <m:t>Z</m:t>
                </m:r>
              </m:sub>
              <m:sup>
                <m:r>
                  <m:t>2</m:t>
                </m:r>
              </m:sup>
            </m:sSubSup>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denote the baseline risk of trial</w:t>
      </w:r>
      <w:r>
        <w:rPr>
          <w:rFonts w:ascii="Times New Roman" w:hAnsi="Times New Roman" w:cs="Times New Roman" w:eastAsia="Times New Roman"/>
          <w:sz w:val="24"/>
          <w:szCs w:val="24"/>
        </w:rPr>
        <w:t xml:space="preserve"> </w:t>
      </w:r>
      <m:oMath>
        <m:r>
          <m:t>i</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log-odds scale. The true treatment effect in that population is</w:t>
      </w:r>
      <w:r>
        <w:rPr>
          <w:rFonts w:ascii="Times New Roman" w:hAnsi="Times New Roman" w:cs="Times New Roman" w:eastAsia="Times New Roman"/>
          <w:sz w:val="24"/>
          <w:szCs w:val="24"/>
        </w:rPr>
        <w:t xml:space="preserve"> </w:t>
      </w:r>
      <m:oMath>
        <m:sSub>
          <m:e>
            <m:r>
              <m:rPr>
                <m:nor/>
                <m:sty m:val="p"/>
              </m:rPr>
              <m:t>log OR</m:t>
            </m:r>
          </m:e>
          <m:sub>
            <m:r>
              <m:t>i</m:t>
            </m:r>
          </m:sub>
        </m:sSub>
        <m:r>
          <m:rPr>
            <m:sty m:val="p"/>
          </m:rPr>
          <m:t>=</m:t>
        </m:r>
        <m:sSub>
          <m:e>
            <m:r>
              <m:t>θ</m:t>
            </m:r>
          </m:e>
          <m:sub>
            <m:r>
              <m:t>0</m:t>
            </m:r>
          </m:sub>
        </m:sSub>
        <m:r>
          <m:rPr>
            <m:sty m:val="p"/>
          </m:rPr>
          <m:t>+</m:t>
        </m:r>
        <m:r>
          <m:t>γ</m:t>
        </m:r>
        <m:sSub>
          <m:e>
            <m:r>
              <m:t>Z</m:t>
            </m:r>
          </m:e>
          <m:sub>
            <m:r>
              <m:t>i</m:t>
            </m:r>
          </m:sub>
        </m:sSub>
      </m:oMath>
      <w:r>
        <w:rPr>
          <w:rFonts w:ascii="Times New Roman" w:hAnsi="Times New Roman" w:cs="Times New Roman" w:eastAsia="Times New Roman"/>
          <w:sz w:val="24"/>
          <w:szCs w:val="24"/>
        </w:rPr>
        <w:t xml:space="preserve">, with</w:t>
      </w:r>
      <w:r>
        <w:rPr>
          <w:rFonts w:ascii="Times New Roman" w:hAnsi="Times New Roman" w:cs="Times New Roman" w:eastAsia="Times New Roman"/>
          <w:sz w:val="24"/>
          <w:szCs w:val="24"/>
        </w:rPr>
        <w:t xml:space="preserve"> </w:t>
      </w:r>
      <m:oMath>
        <m:r>
          <m:t>γ</m:t>
        </m:r>
        <m:r>
          <m:rPr>
            <m:sty m:val="p"/>
          </m:rPr>
          <m:t>&lt;</m:t>
        </m:r>
        <m:r>
          <m:t>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meaning that baseline risk modifies the treatment effect (higher-risk patients experience larger absolute or relative benefit). The target population is all hypothetical RCTs; the enrolled population is a lower-risk subset selected by a quantile threshold on</w:t>
      </w:r>
      <w:r>
        <w:rPr>
          <w:rFonts w:ascii="Times New Roman" w:hAnsi="Times New Roman" w:cs="Times New Roman" w:eastAsia="Times New Roman"/>
          <w:sz w:val="24"/>
          <w:szCs w:val="24"/>
        </w:rPr>
        <w:t xml:space="preserve"> </w:t>
      </w:r>
      <m:oMath>
        <m:sSub>
          <m:e>
            <m:r>
              <m:t>Z</m:t>
            </m:r>
          </m:e>
          <m:sub>
            <m:r>
              <m:t>i</m:t>
            </m:r>
          </m:sub>
        </m:sSub>
      </m:oMath>
      <w:r>
        <w:rPr>
          <w:rFonts w:ascii="Times New Roman" w:hAnsi="Times New Roman" w:cs="Times New Roman" w:eastAsia="Times New Roman"/>
          <w:sz w:val="24"/>
          <w:szCs w:val="24"/>
        </w:rPr>
        <w:t xml:space="preserve">. This is the formal mechanism for structural information loss: the RCT-enrolled meta-analysis estimates the treatment effect in a selected, lower-risk subpopulation rather than the target estimand</w:t>
      </w:r>
      <w:r>
        <w:rPr>
          <w:rFonts w:ascii="Times New Roman" w:hAnsi="Times New Roman" w:cs="Times New Roman" w:eastAsia="Times New Roman"/>
          <w:sz w:val="24"/>
          <w:szCs w:val="24"/>
        </w:rPr>
        <w:t xml:space="preserve"> </w:t>
      </w:r>
      <m:oMath>
        <m:r>
          <m:rPr>
            <m:sty m:val="p"/>
            <m:scr m:val="double-struck"/>
          </m:rPr>
          <m:t>E</m:t>
        </m:r>
        <m:d>
          <m:dPr>
            <m:begChr m:val="["/>
            <m:endChr m:val="]"/>
            <m:sepChr m:val=""/>
            <m:grow/>
          </m:dPr>
          <m:e>
            <m:r>
              <m:rPr>
                <m:nor/>
                <m:sty m:val="p"/>
              </m:rPr>
              <m:t>log OR</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over all RCTs.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An observational source is generated from the same target population but with systematic design-related bias toward spurious benefit,</w:t>
      </w:r>
      <w:r>
        <w:rPr>
          <w:rFonts w:ascii="Times New Roman" w:hAnsi="Times New Roman" w:cs="Times New Roman" w:eastAsia="Times New Roman"/>
          <w:sz w:val="24"/>
          <w:szCs w:val="24"/>
        </w:rPr>
        <w:t xml:space="preserve"> </w:t>
      </w:r>
      <m:oMath>
        <m:r>
          <m:rPr>
            <m:nor/>
            <m:sty m:val="p"/>
          </m:rPr>
          <m:t>E</m:t>
        </m:r>
        <m:d>
          <m:dPr>
            <m:begChr m:val="["/>
            <m:endChr m:val="]"/>
            <m:sepChr m:val=""/>
            <m:grow/>
          </m:dPr>
          <m:e>
            <m:sSub>
              <m:e>
                <m:acc>
                  <m:accPr>
                    <m:chr m:val="̂"/>
                  </m:accPr>
                  <m:e>
                    <m:r>
                      <m:t>θ</m:t>
                    </m:r>
                  </m:e>
                </m:acc>
              </m:e>
              <m:sub>
                <m:r>
                  <m:rPr>
                    <m:nor/>
                    <m:sty m:val="p"/>
                  </m:rPr>
                  <m:t>obs</m:t>
                </m:r>
              </m:sub>
            </m:sSub>
          </m:e>
        </m:d>
        <m:r>
          <m:rPr>
            <m:sty m:val="p"/>
          </m:rPr>
          <m:t>=</m:t>
        </m:r>
        <m:sSub>
          <m:e>
            <m:r>
              <m:t>θ</m:t>
            </m:r>
          </m:e>
          <m:sub>
            <m:r>
              <m:rPr>
                <m:nor/>
                <m:sty m:val="p"/>
              </m:rPr>
              <m:t>true</m:t>
            </m:r>
          </m:sub>
        </m:sSub>
        <m:r>
          <m:rPr>
            <m:sty m:val="p"/>
          </m:rPr>
          <m:t>+</m:t>
        </m:r>
        <m:sSub>
          <m:e>
            <m:r>
              <m:t>β</m:t>
            </m:r>
          </m:e>
          <m:sub>
            <m:r>
              <m:rPr>
                <m:nor/>
                <m:sty m:val="p"/>
              </m:rPr>
              <m:t>obs</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inflated standard errors. The KOTHA combination uses a normal-approximation power-prior,</w:t>
      </w:r>
      <w:r>
        <w:rPr>
          <w:rFonts w:ascii="Times New Roman" w:hAnsi="Times New Roman" w:cs="Times New Roman" w:eastAsia="Times New Roman"/>
          <w:sz w:val="24"/>
          <w:szCs w:val="24"/>
        </w:rPr>
        <w:t xml:space="preserve"> </w:t>
      </w:r>
      <m:oMath>
        <m:r>
          <m:rPr>
            <m:nor/>
            <m:sty m:val="p"/>
          </m:rPr>
          <m:t>log-posterior</m:t>
        </m:r>
        <m:r>
          <m:rPr>
            <m:sty m:val="p"/>
          </m:rPr>
          <m:t>∝</m:t>
        </m:r>
        <m:r>
          <m:t>α</m:t>
        </m:r>
        <m:r>
          <m:rPr>
            <m:sty m:val="p"/>
          </m:rPr>
          <m:t>⋅</m:t>
        </m:r>
        <m:sSub>
          <m:e>
            <m:r>
              <m:rPr>
                <m:nor/>
                <m:sty m:val="p"/>
              </m:rPr>
              <m:t>log-likelihood</m:t>
            </m:r>
          </m:e>
          <m:sub>
            <m:r>
              <m:rPr>
                <m:nor/>
                <m:sty m:val="p"/>
              </m:rPr>
              <m:t>obs</m:t>
            </m:r>
          </m:sub>
        </m:sSub>
        <m:r>
          <m:rPr>
            <m:sty m:val="p"/>
          </m:rPr>
          <m:t>+</m:t>
        </m:r>
        <m:sSub>
          <m:e>
            <m:r>
              <m:rPr>
                <m:nor/>
                <m:sty m:val="p"/>
              </m:rPr>
              <m:t>log-likelihood</m:t>
            </m:r>
          </m:e>
          <m:sub>
            <m:r>
              <m:rPr>
                <m:nor/>
                <m:sty m:val="p"/>
              </m:rPr>
              <m:t>rct</m:t>
            </m:r>
          </m:sub>
        </m:sSub>
        <m:r>
          <m:rPr>
            <m:sty m:val="p"/>
          </m:rPr>
          <m:t>+</m:t>
        </m:r>
        <m:r>
          <m:rPr>
            <m:nor/>
            <m:sty m:val="p"/>
          </m:rPr>
          <m:t>log-prior</m:t>
        </m:r>
        <m:d>
          <m:dPr>
            <m:begChr m:val="("/>
            <m:endChr m:val=")"/>
            <m:sepChr m:val=""/>
            <m:grow/>
          </m:dPr>
          <m:e>
            <m:r>
              <m:t>θ</m:t>
            </m:r>
            <m:r>
              <m:rPr>
                <m:sty m:val="p"/>
              </m:rPr>
              <m:t>,</m:t>
            </m:r>
            <m:sSup>
              <m:e>
                <m:r>
                  <m:t>τ</m:t>
                </m:r>
              </m:e>
              <m:sup>
                <m:r>
                  <m:t>2</m:t>
                </m:r>
              </m:sup>
            </m:sSup>
          </m:e>
        </m:d>
      </m:oMath>
      <w:r>
        <w:rPr>
          <w:rFonts w:ascii="Times New Roman" w:hAnsi="Times New Roman" w:cs="Times New Roman" w:eastAsia="Times New Roman"/>
          <w:sz w:val="24"/>
          <w:szCs w:val="24"/>
        </w:rPr>
        <w:t xml:space="preserve">, and returns the posterior mean as the point estimate. Performance was evaluated by bias, RMSE, 95% credible-interval coverage, and statistical power (posterior probability that OR &lt; 1 exceeds 97.5%) relative to the target estimand. The simulation was run with 500 replications under pre-specified parameters; results are reported using the ADEMP checklist </w:t>
      </w:r>
      <w:r>
        <w:rPr>
          <w:rFonts w:ascii="Times New Roman" w:hAnsi="Times New Roman" w:cs="Times New Roman" w:eastAsia="Times New Roman"/>
          <w:sz w:val="24"/>
          <w:szCs w:val="24"/>
        </w:rPr>
        <w:t xml:space="preserve">[10]</w:t>
      </w:r>
      <w:r>
        <w:rPr>
          <w:rFonts w:ascii="Times New Roman" w:hAnsi="Times New Roman" w:cs="Times New Roman" w:eastAsia="Times New Roman"/>
          <w:sz w:val="24"/>
          <w:szCs w:val="24"/>
        </w:rPr>
        <w:t xml:space="preserve">.</w:t>
      </w:r>
    </w:p>
    <w:p>
      <w:pPr>
        <w:pStyle w:val="Heading3"/>
      </w:pPr>
      <w:r>
        <w:rPr>
          <w:rFonts w:ascii="Times New Roman" w:hAnsi="Times New Roman"/>
          <w:b/>
          <w:color w:val="000000"/>
          <w:sz w:val="24"/>
        </w:rPr>
        <w:t>Data sources and statistical analysis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magnesium in AMI we used study-level event counts extracted from published overviews </w:t>
      </w:r>
      <w:r>
        <w:rPr>
          <w:rFonts w:ascii="Times New Roman" w:hAnsi="Times New Roman" w:cs="Times New Roman" w:eastAsia="Times New Roman"/>
          <w:sz w:val="24"/>
          <w:szCs w:val="24"/>
        </w:rPr>
        <w:t xml:space="preserve">[17-18]</w:t>
      </w:r>
      <w:r>
        <w:rPr>
          <w:rFonts w:ascii="Times New Roman" w:hAnsi="Times New Roman" w:cs="Times New Roman" w:eastAsia="Times New Roman"/>
          <w:sz w:val="24"/>
          <w:szCs w:val="24"/>
        </w:rPr>
        <w:t xml:space="preserve">. For statins in heart failure we used aggregate data from five observational cohorts </w:t>
      </w:r>
      <w:r>
        <w:rPr>
          <w:rFonts w:ascii="Times New Roman" w:hAnsi="Times New Roman" w:cs="Times New Roman" w:eastAsia="Times New Roman"/>
          <w:sz w:val="24"/>
          <w:szCs w:val="24"/>
        </w:rPr>
        <w:t xml:space="preserve">[19-23]</w:t>
      </w:r>
      <w:r>
        <w:rPr>
          <w:rFonts w:ascii="Times New Roman" w:hAnsi="Times New Roman" w:cs="Times New Roman" w:eastAsia="Times New Roman"/>
          <w:sz w:val="24"/>
          <w:szCs w:val="24"/>
        </w:rPr>
        <w:t xml:space="preserve"> and two RCTs </w:t>
      </w:r>
      <w:r>
        <w:rPr>
          <w:rFonts w:ascii="Times New Roman" w:hAnsi="Times New Roman" w:cs="Times New Roman" w:eastAsia="Times New Roman"/>
          <w:sz w:val="24"/>
          <w:szCs w:val="24"/>
        </w:rPr>
        <w:t xml:space="preserve">[24-25]</w:t>
      </w:r>
      <w:r>
        <w:rPr>
          <w:rFonts w:ascii="Times New Roman" w:hAnsi="Times New Roman" w:cs="Times New Roman" w:eastAsia="Times New Roman"/>
          <w:sz w:val="24"/>
          <w:szCs w:val="24"/>
        </w:rPr>
        <w:t xml:space="preserve">. We used DerSimonian-Laird random-effects meta-analysis </w:t>
      </w:r>
      <w:r>
        <w:rPr>
          <w:rFonts w:ascii="Times New Roman" w:hAnsi="Times New Roman" w:cs="Times New Roman" w:eastAsia="Times New Roman"/>
          <w:sz w:val="24"/>
          <w:szCs w:val="24"/>
        </w:rPr>
        <w:t xml:space="preserve">[26]</w:t>
      </w:r>
      <w:r>
        <w:rPr>
          <w:rFonts w:ascii="Times New Roman" w:hAnsi="Times New Roman" w:cs="Times New Roman" w:eastAsia="Times New Roman"/>
          <w:sz w:val="24"/>
          <w:szCs w:val="24"/>
        </w:rPr>
        <w:t xml:space="preserve"> and computed 95% confidence intervals. OIS and TSA were calculated using standard formulas </w:t>
      </w:r>
      <w:r>
        <w:rPr>
          <w:rFonts w:ascii="Times New Roman" w:hAnsi="Times New Roman" w:cs="Times New Roman" w:eastAsia="Times New Roman"/>
          <w:sz w:val="24"/>
          <w:szCs w:val="24"/>
        </w:rPr>
        <w:t xml:space="preserve">[6-9]</w:t>
      </w:r>
      <w:r>
        <w:rPr>
          <w:rFonts w:ascii="Times New Roman" w:hAnsi="Times New Roman" w:cs="Times New Roman" w:eastAsia="Times New Roman"/>
          <w:sz w:val="24"/>
          <w:szCs w:val="24"/>
        </w:rPr>
        <w:t xml:space="preserve">. All analyses were performed with the Python code in the public repository.</w:t>
      </w:r>
    </w:p>
    <w:p>
      <w:pPr>
        <w:pStyle w:val="Heading2"/>
      </w:pPr>
      <w:r>
        <w:rPr>
          <w:rFonts w:ascii="Times New Roman" w:hAnsi="Times New Roman"/>
          <w:b/>
          <w:color w:val="000000"/>
          <w:sz w:val="24"/>
        </w:rPr>
        <w:t>3. Results</w:t>
      </w:r>
    </w:p>
    <w:p>
      <w:pPr>
        <w:pStyle w:val="Heading3"/>
      </w:pPr>
      <w:r>
        <w:rPr>
          <w:rFonts w:ascii="Times New Roman" w:hAnsi="Times New Roman"/>
          <w:b/>
          <w:color w:val="000000"/>
          <w:sz w:val="24"/>
        </w:rPr>
        <w:t>Study-level data and risk-profile shift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Study-level data are provided in Supplementary Table S1 (magnesium in AMI) and Supplementary Table S2 (statins in HF). In the magnesium case, control-group mortality fell from a pre-thrombolysis weighted mean of 8.9% to 7.2% in ISIS-4, an event rate ratio of 0.82 (Fig. 2). In the statins case, the RCT-to-observational event rate ratio was 0.51, indicating that the RCT populations had roughly half the mortality event rate of the observational cohorts.</w:t>
      </w:r>
    </w:p>
    <w:p>
      <w:pPr>
        <w:jc w:val="center"/>
      </w:pPr>
      <w:r>
        <w:drawing>
          <wp:inline xmlns:a="http://schemas.openxmlformats.org/drawingml/2006/main" xmlns:pic="http://schemas.openxmlformats.org/drawingml/2006/picture">
            <wp:extent cx="5029200" cy="2061675"/>
            <wp:docPr id="2" name="Picture 2"/>
            <wp:cNvGraphicFramePr>
              <a:graphicFrameLocks noChangeAspect="1"/>
            </wp:cNvGraphicFramePr>
            <a:graphic>
              <a:graphicData uri="http://schemas.openxmlformats.org/drawingml/2006/picture">
                <pic:pic>
                  <pic:nvPicPr>
                    <pic:cNvPr id="0" name="fig2_risk_profile_shift.png"/>
                    <pic:cNvPicPr/>
                  </pic:nvPicPr>
                  <pic:blipFill>
                    <a:blip r:embed="rId11"/>
                    <a:stretch>
                      <a:fillRect/>
                    </a:stretch>
                  </pic:blipFill>
                  <pic:spPr>
                    <a:xfrm>
                      <a:off x="0" y="0"/>
                      <a:ext cx="5029200" cy="2061675"/>
                    </a:xfrm>
                    <a:prstGeom prst="rect"/>
                  </pic:spPr>
                </pic:pic>
              </a:graphicData>
            </a:graphic>
          </wp:inline>
        </w:drawing>
      </w:r>
    </w:p>
    <w:p>
      <w:pPr>
        <w:jc w:val="left"/>
      </w:pPr>
      <w:r>
        <w:rPr>
          <w:rFonts w:ascii="Times New Roman" w:hAnsi="Times New Roman"/>
          <w:b/>
          <w:sz w:val="20"/>
        </w:rPr>
        <w:t xml:space="preserve">Figure 2. </w:t>
      </w:r>
      <w:r>
        <w:rPr>
          <w:rFonts w:ascii="Times New Roman" w:hAnsi="Times New Roman"/>
          <w:sz w:val="20"/>
        </w:rPr>
        <w:t>Risk-profile shift in the magnesium-in-AMI case. (A) Control-group mortality rates over time, with bubble size proportional to study sample size and colors indicating era. (B) Weighted mean control mortality by era.</w:t>
      </w:r>
    </w:p>
    <w:p>
      <w:pPr>
        <w:pStyle w:val="Heading3"/>
      </w:pPr>
      <w:r>
        <w:rPr>
          <w:rFonts w:ascii="Times New Roman" w:hAnsi="Times New Roman"/>
          <w:b/>
          <w:color w:val="000000"/>
          <w:sz w:val="24"/>
        </w:rPr>
        <w:t>Counterfactual power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At the ISIS-4 sample size (N = 58,050) and the pre-ISIS-4 pooled effect (OR = 0.54), power exceeded 99% under all three event-rate scenarios. For a more modest effect (OR = 0.90), however, power was 95.8% under the pre-thrombolysis rate and 91.5% under the ISIS-4 rate (Fig. 3A). For statins, power to detect the observational effect (HR = 0.72) was 100.0% under the observational event rate and 100.0% under the RCT event rate; for a more modest effect (HR = 0.85), power fell from 98.4% to 83.2%---a 15 percentage-point reduction consistent with event dilution (Fig. 3B).</w:t>
      </w:r>
    </w:p>
    <w:p>
      <w:pPr>
        <w:jc w:val="center"/>
      </w:pPr>
      <w:r>
        <w:drawing>
          <wp:inline xmlns:a="http://schemas.openxmlformats.org/drawingml/2006/main" xmlns:pic="http://schemas.openxmlformats.org/drawingml/2006/picture">
            <wp:extent cx="5029200" cy="2096542"/>
            <wp:docPr id="3" name="Picture 3"/>
            <wp:cNvGraphicFramePr>
              <a:graphicFrameLocks noChangeAspect="1"/>
            </wp:cNvGraphicFramePr>
            <a:graphic>
              <a:graphicData uri="http://schemas.openxmlformats.org/drawingml/2006/picture">
                <pic:pic>
                  <pic:nvPicPr>
                    <pic:cNvPr id="0" name="fig3_power_curves.png"/>
                    <pic:cNvPicPr/>
                  </pic:nvPicPr>
                  <pic:blipFill>
                    <a:blip r:embed="rId12"/>
                    <a:stretch>
                      <a:fillRect/>
                    </a:stretch>
                  </pic:blipFill>
                  <pic:spPr>
                    <a:xfrm>
                      <a:off x="0" y="0"/>
                      <a:ext cx="5029200" cy="2096542"/>
                    </a:xfrm>
                    <a:prstGeom prst="rect"/>
                  </pic:spPr>
                </pic:pic>
              </a:graphicData>
            </a:graphic>
          </wp:inline>
        </w:drawing>
      </w:r>
    </w:p>
    <w:p>
      <w:pPr>
        <w:jc w:val="left"/>
      </w:pPr>
      <w:r>
        <w:rPr>
          <w:rFonts w:ascii="Times New Roman" w:hAnsi="Times New Roman"/>
          <w:b/>
          <w:sz w:val="20"/>
        </w:rPr>
        <w:t xml:space="preserve">Figure 3. </w:t>
      </w:r>
      <w:r>
        <w:rPr>
          <w:rFonts w:ascii="Times New Roman" w:hAnsi="Times New Roman"/>
          <w:sz w:val="20"/>
        </w:rPr>
        <w:t>Estimated power by enrollment scenario and true effect size. (A) Magnesium in AMI at the ISIS-4 sample size (N = 58,050). (B) Statins in HF at the combined RCT sample size (N = 9,585). S1 = real-world/observational event rate; S2 = RCT event rate; S3 = intermediate/enriched rate. Horizontal dashed lines indicate 80% power.</w:t>
      </w:r>
    </w:p>
    <w:p>
      <w:pPr>
        <w:pStyle w:val="Heading3"/>
      </w:pPr>
      <w:r>
        <w:rPr>
          <w:rFonts w:ascii="Times New Roman" w:hAnsi="Times New Roman"/>
          <w:b/>
          <w:color w:val="000000"/>
          <w:sz w:val="24"/>
        </w:rPr>
        <w:t>Frequentist meta-analysis and trial sequential analysis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Fig. 4 shows forest plots for magnesium and statins. Random-effects meta-analysis of the 11 pre-ISIS-4 magnesium trials yielded OR = 0.54 (95% CI: 0.40-0.75)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 Adding ISIS-4 changed the pooled estimate to OR = 0.56 (0.38-0.83), but heterogeneity increased to</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(Fig. 4A). Under fixed-effect accumulation the final cumulative</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0.80, which did not cross the conventional two-sided boundary for benefit or harm (</w:t>
      </w:r>
      <m:oMath>
        <m:d>
          <m:dPr>
            <m:begChr m:val="|"/>
            <m:endChr m:val="|"/>
            <m:sepChr m:val=""/>
            <m:grow/>
          </m:dPr>
          <m:e>
            <m:r>
              <m:t>Z</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1.96); under random-effects accumulation the final</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-2.90, crossing the lower O'Brien-Fleming boundary of -1.96. Because cumulative information exceeded the optimal information size, this boundary equals the conventional two-sided boundary (Supplementary Fig. S2). This divergence is consistent with era-dependent treatment-effect heterogeneity, with the ISIS-4 result contributing substantially to that heterogeneity.</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statins, observational studies showed a pooled HR of 0.72 (95% CI: 0.64-0.80)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82%, whereas the two RCTs (CORONA and GISSI-HF) yielded HR = 0.97 (0.90-1.05)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(Fig. 4B).</w:t>
      </w:r>
    </w:p>
    <w:p>
      <w:pPr>
        <w:jc w:val="center"/>
      </w:pPr>
      <w:r>
        <w:drawing>
          <wp:inline xmlns:a="http://schemas.openxmlformats.org/drawingml/2006/main" xmlns:pic="http://schemas.openxmlformats.org/drawingml/2006/picture">
            <wp:extent cx="5029200" cy="2598661"/>
            <wp:docPr id="4" name="Picture 4"/>
            <wp:cNvGraphicFramePr>
              <a:graphicFrameLocks noChangeAspect="1"/>
            </wp:cNvGraphicFramePr>
            <a:graphic>
              <a:graphicData uri="http://schemas.openxmlformats.org/drawingml/2006/picture">
                <pic:pic>
                  <pic:nvPicPr>
                    <pic:cNvPr id="0" name="fig4_forest_combined.png"/>
                    <pic:cNvPicPr/>
                  </pic:nvPicPr>
                  <pic:blipFill>
                    <a:blip r:embed="rId13"/>
                    <a:stretch>
                      <a:fillRect/>
                    </a:stretch>
                  </pic:blipFill>
                  <pic:spPr>
                    <a:xfrm>
                      <a:off x="0" y="0"/>
                      <a:ext cx="5029200" cy="2598661"/>
                    </a:xfrm>
                    <a:prstGeom prst="rect"/>
                  </pic:spPr>
                </pic:pic>
              </a:graphicData>
            </a:graphic>
          </wp:inline>
        </w:drawing>
      </w:r>
    </w:p>
    <w:p>
      <w:pPr>
        <w:jc w:val="left"/>
      </w:pPr>
      <w:r>
        <w:rPr>
          <w:rFonts w:ascii="Times New Roman" w:hAnsi="Times New Roman"/>
          <w:b/>
          <w:sz w:val="20"/>
        </w:rPr>
        <w:t xml:space="preserve">Figure 4. </w:t>
      </w:r>
      <w:r>
        <w:rPr>
          <w:rFonts w:ascii="Times New Roman" w:hAnsi="Times New Roman"/>
          <w:sz w:val="20"/>
        </w:rPr>
        <w:t>Forest plots for (A) magnesium in AMI and (B) statins in heart failure. Individual study effect estimates are shown with 95% confidence intervals. Pooled estimates include frequentist random-effects and Bayesian integrated estimates at selected discounting levels (alpha = 0.3, 0.5, 1.0 for magnesium; 0.1, 0.3, 0.5 for statins).</w:t>
      </w:r>
    </w:p>
    <w:p>
      <w:pPr>
        <w:pStyle w:val="Heading3"/>
      </w:pPr>
      <w:r>
        <w:rPr>
          <w:rFonts w:ascii="Times New Roman" w:hAnsi="Times New Roman"/>
          <w:b/>
          <w:color w:val="000000"/>
          <w:sz w:val="24"/>
        </w:rPr>
        <w:t>Bayesian integration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Bayesian integration (Table 1) showed that for magnesium,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(ISIS-4 only), the posterior median OR was 1.05 with 42.8% probability of benefit.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the posterior shifted to OR = 0.74 (95% CrI: 0.25-1.43), with 80.7% probability of benefit (Fig. 5A). For statins,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(RCTs only) the posterior probability of benefit was 62.9% and the probability of a clinically meaningful benefit (HR &lt; 0.90) was 21.2%.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these probabilities rose to 86.5% and 66.0%, respectively (Fig. 5B). Even with moderate borrowing from observational evidence, conclusions remained uncertain.</w:t>
      </w:r>
    </w:p>
    <w:p>
      <w:r>
        <w:rPr>
          <w:rFonts w:ascii="Times New Roman" w:hAnsi="Times New Roman"/>
          <w:b/>
          <w:i w:val="0"/>
          <w:sz w:val="24"/>
        </w:rPr>
        <w:t>Table 1: Bayesian integration results by case and discounting factor (power prior)</w:t>
      </w:r>
    </w:p>
    <w:tbl xmlns:a="http://schemas.openxmlformats.org/drawingml/2006/main" xmlns:pic="http://schemas.openxmlformats.org/drawingml/2006/picture">
      <w:tblPr>
        <w:tblStyle w:val="Table Grid"/>
        <w:tblW w:type="pct" w:w="5000"/>
        <w:tblLook w:firstRow="1" w:lastRow="0" w:firstColumn="0" w:lastColumn="0" w:noHBand="0" w:noVBand="0" w:val="0020"/>
        <w:jc w:val="center"/>
        <w:tblLayout w:type="fixed"/>
      </w:tblPr>
      <w:tblGrid>
        <w:gridCol w:w="1320"/>
        <w:gridCol w:w="1320"/>
        <w:gridCol w:w="1320"/>
        <w:gridCol w:w="1320"/>
        <w:gridCol w:w="1320"/>
        <w:gridCol w:w="1320"/>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Case</w:t>
            </w:r>
          </w:p>
        </w:tc>
        <w:tc>
          <w:tcPr/>
          <w:p>
            <w:pPr>
              <w:pStyle w:val="Normal"/>
              <w:jc w:val="left"/>
              <w:spacing w:line="240" w:lineRule="auto" w:after="0"/>
            </w:pPr>
            <m:oMath>
              <m:r>
                <m:t>α</m:t>
              </m:r>
            </m:oMath>
          </w:p>
        </w:tc>
        <w:tc>
          <w:tcPr/>
          <w:p>
            <w:pPr>
              <w:pStyle w:val="Normal"/>
              <w:jc w:val="left"/>
              <w:spacing w:line="240" w:lineRule="auto" w:after="0"/>
            </w:pPr>
            <w:r>
              <w:rPr>
                <w:rFonts w:ascii="Times New Roman" w:hAnsi="Times New Roman" w:cs="Times New Roman" w:eastAsia="Times New Roman"/>
                <w:sz w:val="20"/>
                <w:szCs w:val="20"/>
                <w:b/>
              </w:rPr>
              <w:t xml:space="preserve">OR/HR (95% CrI)</w:t>
            </w:r>
          </w:p>
        </w:tc>
        <w:tc>
          <w:tcPr/>
          <w:p>
            <w:pPr>
              <w:pStyle w:val="Normal"/>
              <w:jc w:val="left"/>
              <w:spacing w:line="240" w:lineRule="auto" w:after="0"/>
            </w:pPr>
            <w:r>
              <w:rPr>
                <w:rFonts w:ascii="Times New Roman" w:hAnsi="Times New Roman" w:cs="Times New Roman" w:eastAsia="Times New Roman"/>
                <w:sz w:val="20"/>
                <w:szCs w:val="20"/>
                <w:b/>
              </w:rPr>
              <w:t xml:space="preserve">P(effect &lt; 1)</w:t>
            </w:r>
          </w:p>
        </w:tc>
        <w:tc>
          <w:tcPr/>
          <w:p>
            <w:pPr>
              <w:pStyle w:val="Normal"/>
              <w:jc w:val="left"/>
              <w:spacing w:line="240" w:lineRule="auto" w:after="0"/>
            </w:pPr>
            <w:r>
              <w:rPr>
                <w:rFonts w:ascii="Times New Roman" w:hAnsi="Times New Roman" w:cs="Times New Roman" w:eastAsia="Times New Roman"/>
                <w:sz w:val="20"/>
                <w:szCs w:val="20"/>
                <w:b/>
              </w:rPr>
              <w:t xml:space="preserve">P(effect &lt; 0.90)</w:t>
            </w:r>
          </w:p>
        </w:tc>
        <w:tc>
          <w:tcPr/>
          <w:p>
            <w:pPr>
              <w:pStyle w:val="Normal"/>
              <w:jc w:val="left"/>
              <w:spacing w:line="240" w:lineRule="auto" w:after="0"/>
            </w:pPr>
            <w:r>
              <w:rPr>
                <w:rFonts w:ascii="Times New Roman" w:hAnsi="Times New Roman" w:cs="Times New Roman" w:eastAsia="Times New Roman"/>
                <w:sz w:val="20"/>
                <w:szCs w:val="20"/>
                <w:b/>
              </w:rPr>
              <w:t xml:space="preserve">P(effect &lt; 0.80)</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0.0 (ISIS-4 / RCTs only)</w:t>
            </w:r>
          </w:p>
        </w:tc>
        <w:tc>
          <w:tcPr/>
          <w:p>
            <w:pPr>
              <w:pStyle w:val="Normal"/>
              <w:jc w:val="left"/>
              <w:spacing w:line="240" w:lineRule="auto" w:after="0"/>
            </w:pPr>
            <w:r>
              <w:rPr>
                <w:rFonts w:ascii="Times New Roman" w:hAnsi="Times New Roman" w:cs="Times New Roman" w:eastAsia="Times New Roman"/>
                <w:sz w:val="20"/>
                <w:szCs w:val="20"/>
              </w:rPr>
              <w:t xml:space="preserve">OR 1.05 (0.03--27.97)</w:t>
            </w:r>
          </w:p>
        </w:tc>
        <w:tc>
          <w:tcPr/>
          <w:p>
            <w:pPr>
              <w:pStyle w:val="Normal"/>
              <w:jc w:val="left"/>
              <w:spacing w:line="240" w:lineRule="auto" w:after="0"/>
            </w:pPr>
            <w:r>
              <w:rPr>
                <w:rFonts w:ascii="Times New Roman" w:hAnsi="Times New Roman" w:cs="Times New Roman" w:eastAsia="Times New Roman"/>
                <w:sz w:val="20"/>
                <w:szCs w:val="20"/>
              </w:rPr>
              <w:t xml:space="preserve">42.8%</w:t>
            </w:r>
          </w:p>
        </w:tc>
        <w:tc>
          <w:tcPr/>
          <w:p>
            <w:pPr>
              <w:pStyle w:val="Normal"/>
              <w:jc w:val="left"/>
              <w:spacing w:line="240" w:lineRule="auto" w:after="0"/>
            </w:pPr>
            <w:r>
              <w:rPr>
                <w:rFonts w:ascii="Times New Roman" w:hAnsi="Times New Roman" w:cs="Times New Roman" w:eastAsia="Times New Roman"/>
                <w:sz w:val="20"/>
                <w:szCs w:val="20"/>
              </w:rPr>
              <w:t xml:space="preserve">33.4%</w:t>
            </w:r>
          </w:p>
        </w:tc>
        <w:tc>
          <w:tcPr/>
          <w:p>
            <w:pPr>
              <w:pStyle w:val="Normal"/>
              <w:jc w:val="left"/>
              <w:spacing w:line="240" w:lineRule="auto" w:after="0"/>
            </w:pPr>
            <w:r>
              <w:rPr>
                <w:rFonts w:ascii="Times New Roman" w:hAnsi="Times New Roman" w:cs="Times New Roman" w:eastAsia="Times New Roman"/>
                <w:sz w:val="20"/>
                <w:szCs w:val="20"/>
              </w:rPr>
              <w:t xml:space="preserve">27.0%</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0.0 (ISIS-4 / RCTs only)</w:t>
            </w:r>
          </w:p>
        </w:tc>
        <w:tc>
          <w:tcPr/>
          <w:p>
            <w:pPr>
              <w:pStyle w:val="Normal"/>
              <w:jc w:val="left"/>
              <w:spacing w:line="240" w:lineRule="auto" w:after="0"/>
            </w:pPr>
            <w:r>
              <w:rPr>
                <w:rFonts w:ascii="Times New Roman" w:hAnsi="Times New Roman" w:cs="Times New Roman" w:eastAsia="Times New Roman"/>
                <w:sz w:val="20"/>
                <w:szCs w:val="20"/>
              </w:rPr>
              <w:t xml:space="preserve">HR 0.97 (0.58--1.65)</w:t>
            </w:r>
          </w:p>
        </w:tc>
        <w:tc>
          <w:tcPr/>
          <w:p>
            <w:pPr>
              <w:pStyle w:val="Normal"/>
              <w:jc w:val="left"/>
              <w:spacing w:line="240" w:lineRule="auto" w:after="0"/>
            </w:pPr>
            <w:r>
              <w:rPr>
                <w:rFonts w:ascii="Times New Roman" w:hAnsi="Times New Roman" w:cs="Times New Roman" w:eastAsia="Times New Roman"/>
                <w:sz w:val="20"/>
                <w:szCs w:val="20"/>
              </w:rPr>
              <w:t xml:space="preserve">62.9%</w:t>
            </w:r>
          </w:p>
        </w:tc>
        <w:tc>
          <w:tcPr/>
          <w:p>
            <w:pPr>
              <w:pStyle w:val="Normal"/>
              <w:jc w:val="left"/>
              <w:spacing w:line="240" w:lineRule="auto" w:after="0"/>
            </w:pPr>
            <w:r>
              <w:rPr>
                <w:rFonts w:ascii="Times New Roman" w:hAnsi="Times New Roman" w:cs="Times New Roman" w:eastAsia="Times New Roman"/>
                <w:sz w:val="20"/>
                <w:szCs w:val="20"/>
              </w:rPr>
              <w:t xml:space="preserve">21.2%</w:t>
            </w:r>
          </w:p>
        </w:tc>
        <w:tc>
          <w:tcPr/>
          <w:p>
            <w:pPr>
              <w:pStyle w:val="Normal"/>
              <w:jc w:val="left"/>
              <w:spacing w:line="240" w:lineRule="auto" w:after="0"/>
            </w:pPr>
            <w:r>
              <w:rPr>
                <w:rFonts w:ascii="Times New Roman" w:hAnsi="Times New Roman" w:cs="Times New Roman" w:eastAsia="Times New Roman"/>
                <w:sz w:val="20"/>
                <w:szCs w:val="20"/>
              </w:rPr>
              <w:t xml:space="preserve">8.9%</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0.1</w:t>
            </w:r>
          </w:p>
        </w:tc>
        <w:tc>
          <w:tcPr/>
          <w:p>
            <w:pPr>
              <w:pStyle w:val="Normal"/>
              <w:jc w:val="left"/>
              <w:spacing w:line="240" w:lineRule="auto" w:after="0"/>
            </w:pPr>
            <w:r>
              <w:rPr>
                <w:rFonts w:ascii="Times New Roman" w:hAnsi="Times New Roman" w:cs="Times New Roman" w:eastAsia="Times New Roman"/>
                <w:sz w:val="20"/>
                <w:szCs w:val="20"/>
              </w:rPr>
              <w:t xml:space="preserve">OR 0.93 (0.15--2.92)</w:t>
            </w:r>
          </w:p>
        </w:tc>
        <w:tc>
          <w:tcPr/>
          <w:p>
            <w:pPr>
              <w:pStyle w:val="Normal"/>
              <w:jc w:val="left"/>
              <w:spacing w:line="240" w:lineRule="auto" w:after="0"/>
            </w:pPr>
            <w:r>
              <w:rPr>
                <w:rFonts w:ascii="Times New Roman" w:hAnsi="Times New Roman" w:cs="Times New Roman" w:eastAsia="Times New Roman"/>
                <w:sz w:val="20"/>
                <w:szCs w:val="20"/>
              </w:rPr>
              <w:t xml:space="preserve">58.3%</w:t>
            </w:r>
          </w:p>
        </w:tc>
        <w:tc>
          <w:tcPr/>
          <w:p>
            <w:pPr>
              <w:pStyle w:val="Normal"/>
              <w:jc w:val="left"/>
              <w:spacing w:line="240" w:lineRule="auto" w:after="0"/>
            </w:pPr>
            <w:r>
              <w:rPr>
                <w:rFonts w:ascii="Times New Roman" w:hAnsi="Times New Roman" w:cs="Times New Roman" w:eastAsia="Times New Roman"/>
                <w:sz w:val="20"/>
                <w:szCs w:val="20"/>
              </w:rPr>
              <w:t xml:space="preserve">46.3%</w:t>
            </w:r>
          </w:p>
        </w:tc>
        <w:tc>
          <w:tcPr/>
          <w:p>
            <w:pPr>
              <w:pStyle w:val="Normal"/>
              <w:jc w:val="left"/>
              <w:spacing w:line="240" w:lineRule="auto" w:after="0"/>
            </w:pPr>
            <w:r>
              <w:rPr>
                <w:rFonts w:ascii="Times New Roman" w:hAnsi="Times New Roman" w:cs="Times New Roman" w:eastAsia="Times New Roman"/>
                <w:sz w:val="20"/>
                <w:szCs w:val="20"/>
              </w:rPr>
              <w:t xml:space="preserve">36.2%</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0.1</w:t>
            </w:r>
          </w:p>
        </w:tc>
        <w:tc>
          <w:tcPr/>
          <w:p>
            <w:pPr>
              <w:pStyle w:val="Normal"/>
              <w:jc w:val="left"/>
              <w:spacing w:line="240" w:lineRule="auto" w:after="0"/>
            </w:pPr>
            <w:r>
              <w:rPr>
                <w:rFonts w:ascii="Times New Roman" w:hAnsi="Times New Roman" w:cs="Times New Roman" w:eastAsia="Times New Roman"/>
                <w:sz w:val="20"/>
                <w:szCs w:val="20"/>
              </w:rPr>
              <w:t xml:space="preserve">HR 0.92 (0.53--1.64)</w:t>
            </w:r>
          </w:p>
        </w:tc>
        <w:tc>
          <w:tcPr/>
          <w:p>
            <w:pPr>
              <w:pStyle w:val="Normal"/>
              <w:jc w:val="left"/>
              <w:spacing w:line="240" w:lineRule="auto" w:after="0"/>
            </w:pPr>
            <w:r>
              <w:rPr>
                <w:rFonts w:ascii="Times New Roman" w:hAnsi="Times New Roman" w:cs="Times New Roman" w:eastAsia="Times New Roman"/>
                <w:sz w:val="20"/>
                <w:szCs w:val="20"/>
              </w:rPr>
              <w:t xml:space="preserve">71.9%</w:t>
            </w:r>
          </w:p>
        </w:tc>
        <w:tc>
          <w:tcPr/>
          <w:p>
            <w:pPr>
              <w:pStyle w:val="Normal"/>
              <w:jc w:val="left"/>
              <w:spacing w:line="240" w:lineRule="auto" w:after="0"/>
            </w:pPr>
            <w:r>
              <w:rPr>
                <w:rFonts w:ascii="Times New Roman" w:hAnsi="Times New Roman" w:cs="Times New Roman" w:eastAsia="Times New Roman"/>
                <w:sz w:val="20"/>
                <w:szCs w:val="20"/>
              </w:rPr>
              <w:t xml:space="preserve">42.7%</w:t>
            </w:r>
          </w:p>
        </w:tc>
        <w:tc>
          <w:tcPr/>
          <w:p>
            <w:pPr>
              <w:pStyle w:val="Normal"/>
              <w:jc w:val="left"/>
              <w:spacing w:line="240" w:lineRule="auto" w:after="0"/>
            </w:pPr>
            <w:r>
              <w:rPr>
                <w:rFonts w:ascii="Times New Roman" w:hAnsi="Times New Roman" w:cs="Times New Roman" w:eastAsia="Times New Roman"/>
                <w:sz w:val="20"/>
                <w:szCs w:val="20"/>
              </w:rPr>
              <w:t xml:space="preserve">19.2%</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0.2</w:t>
            </w:r>
          </w:p>
        </w:tc>
        <w:tc>
          <w:tcPr/>
          <w:p>
            <w:pPr>
              <w:pStyle w:val="Normal"/>
              <w:jc w:val="left"/>
              <w:spacing w:line="240" w:lineRule="auto" w:after="0"/>
            </w:pPr>
            <w:r>
              <w:rPr>
                <w:rFonts w:ascii="Times New Roman" w:hAnsi="Times New Roman" w:cs="Times New Roman" w:eastAsia="Times New Roman"/>
                <w:sz w:val="20"/>
                <w:szCs w:val="20"/>
              </w:rPr>
              <w:t xml:space="preserve">OR 0.83 (0.22--1.75)</w:t>
            </w:r>
          </w:p>
        </w:tc>
        <w:tc>
          <w:tcPr/>
          <w:p>
            <w:pPr>
              <w:pStyle w:val="Normal"/>
              <w:jc w:val="left"/>
              <w:spacing w:line="240" w:lineRule="auto" w:after="0"/>
            </w:pPr>
            <w:r>
              <w:rPr>
                <w:rFonts w:ascii="Times New Roman" w:hAnsi="Times New Roman" w:cs="Times New Roman" w:eastAsia="Times New Roman"/>
                <w:sz w:val="20"/>
                <w:szCs w:val="20"/>
              </w:rPr>
              <w:t xml:space="preserve">71.4%</w:t>
            </w:r>
          </w:p>
        </w:tc>
        <w:tc>
          <w:tcPr/>
          <w:p>
            <w:pPr>
              <w:pStyle w:val="Normal"/>
              <w:jc w:val="left"/>
              <w:spacing w:line="240" w:lineRule="auto" w:after="0"/>
            </w:pPr>
            <w:r>
              <w:rPr>
                <w:rFonts w:ascii="Times New Roman" w:hAnsi="Times New Roman" w:cs="Times New Roman" w:eastAsia="Times New Roman"/>
                <w:sz w:val="20"/>
                <w:szCs w:val="20"/>
              </w:rPr>
              <w:t xml:space="preserve">58.9%</w:t>
            </w:r>
          </w:p>
        </w:tc>
        <w:tc>
          <w:tcPr/>
          <w:p>
            <w:pPr>
              <w:pStyle w:val="Normal"/>
              <w:jc w:val="left"/>
              <w:spacing w:line="240" w:lineRule="auto" w:after="0"/>
            </w:pPr>
            <w:r>
              <w:rPr>
                <w:rFonts w:ascii="Times New Roman" w:hAnsi="Times New Roman" w:cs="Times New Roman" w:eastAsia="Times New Roman"/>
                <w:sz w:val="20"/>
                <w:szCs w:val="20"/>
              </w:rPr>
              <w:t xml:space="preserve">46.9%</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0.2</w:t>
            </w:r>
          </w:p>
        </w:tc>
        <w:tc>
          <w:tcPr/>
          <w:p>
            <w:pPr>
              <w:pStyle w:val="Normal"/>
              <w:jc w:val="left"/>
              <w:spacing w:line="240" w:lineRule="auto" w:after="0"/>
            </w:pPr>
            <w:r>
              <w:rPr>
                <w:rFonts w:ascii="Times New Roman" w:hAnsi="Times New Roman" w:cs="Times New Roman" w:eastAsia="Times New Roman"/>
                <w:sz w:val="20"/>
                <w:szCs w:val="20"/>
              </w:rPr>
              <w:t xml:space="preserve">HR 0.89 (0.53--1.41)</w:t>
            </w:r>
          </w:p>
        </w:tc>
        <w:tc>
          <w:tcPr/>
          <w:p>
            <w:pPr>
              <w:pStyle w:val="Normal"/>
              <w:jc w:val="left"/>
              <w:spacing w:line="240" w:lineRule="auto" w:after="0"/>
            </w:pPr>
            <w:r>
              <w:rPr>
                <w:rFonts w:ascii="Times New Roman" w:hAnsi="Times New Roman" w:cs="Times New Roman" w:eastAsia="Times New Roman"/>
                <w:sz w:val="20"/>
                <w:szCs w:val="20"/>
              </w:rPr>
              <w:t xml:space="preserve">79.8%</w:t>
            </w:r>
          </w:p>
        </w:tc>
        <w:tc>
          <w:tcPr/>
          <w:p>
            <w:pPr>
              <w:pStyle w:val="Normal"/>
              <w:jc w:val="left"/>
              <w:spacing w:line="240" w:lineRule="auto" w:after="0"/>
            </w:pPr>
            <w:r>
              <w:rPr>
                <w:rFonts w:ascii="Times New Roman" w:hAnsi="Times New Roman" w:cs="Times New Roman" w:eastAsia="Times New Roman"/>
                <w:sz w:val="20"/>
                <w:szCs w:val="20"/>
              </w:rPr>
              <w:t xml:space="preserve">54.7%</w:t>
            </w:r>
          </w:p>
        </w:tc>
        <w:tc>
          <w:tcPr/>
          <w:p>
            <w:pPr>
              <w:pStyle w:val="Normal"/>
              <w:jc w:val="left"/>
              <w:spacing w:line="240" w:lineRule="auto" w:after="0"/>
            </w:pPr>
            <w:r>
              <w:rPr>
                <w:rFonts w:ascii="Times New Roman" w:hAnsi="Times New Roman" w:cs="Times New Roman" w:eastAsia="Times New Roman"/>
                <w:sz w:val="20"/>
                <w:szCs w:val="20"/>
              </w:rPr>
              <w:t xml:space="preserve">24.4%</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0.3</w:t>
            </w:r>
          </w:p>
        </w:tc>
        <w:tc>
          <w:tcPr/>
          <w:p>
            <w:pPr>
              <w:pStyle w:val="Normal"/>
              <w:jc w:val="left"/>
              <w:spacing w:line="240" w:lineRule="auto" w:after="0"/>
            </w:pPr>
            <w:r>
              <w:rPr>
                <w:rFonts w:ascii="Times New Roman" w:hAnsi="Times New Roman" w:cs="Times New Roman" w:eastAsia="Times New Roman"/>
                <w:sz w:val="20"/>
                <w:szCs w:val="20"/>
              </w:rPr>
              <w:t xml:space="preserve">OR 0.74 (0.25--1.43)</w:t>
            </w:r>
          </w:p>
        </w:tc>
        <w:tc>
          <w:tcPr/>
          <w:p>
            <w:pPr>
              <w:pStyle w:val="Normal"/>
              <w:jc w:val="left"/>
              <w:spacing w:line="240" w:lineRule="auto" w:after="0"/>
            </w:pPr>
            <w:r>
              <w:rPr>
                <w:rFonts w:ascii="Times New Roman" w:hAnsi="Times New Roman" w:cs="Times New Roman" w:eastAsia="Times New Roman"/>
                <w:sz w:val="20"/>
                <w:szCs w:val="20"/>
              </w:rPr>
              <w:t xml:space="preserve">80.7%</w:t>
            </w:r>
          </w:p>
        </w:tc>
        <w:tc>
          <w:tcPr/>
          <w:p>
            <w:pPr>
              <w:pStyle w:val="Normal"/>
              <w:jc w:val="left"/>
              <w:spacing w:line="240" w:lineRule="auto" w:after="0"/>
            </w:pPr>
            <w:r>
              <w:rPr>
                <w:rFonts w:ascii="Times New Roman" w:hAnsi="Times New Roman" w:cs="Times New Roman" w:eastAsia="Times New Roman"/>
                <w:sz w:val="20"/>
                <w:szCs w:val="20"/>
              </w:rPr>
              <w:t xml:space="preserve">69.6%</w:t>
            </w:r>
          </w:p>
        </w:tc>
        <w:tc>
          <w:tcPr/>
          <w:p>
            <w:pPr>
              <w:pStyle w:val="Normal"/>
              <w:jc w:val="left"/>
              <w:spacing w:line="240" w:lineRule="auto" w:after="0"/>
            </w:pPr>
            <w:r>
              <w:rPr>
                <w:rFonts w:ascii="Times New Roman" w:hAnsi="Times New Roman" w:cs="Times New Roman" w:eastAsia="Times New Roman"/>
                <w:sz w:val="20"/>
                <w:szCs w:val="20"/>
              </w:rPr>
              <w:t xml:space="preserve">57.4%</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0.3</w:t>
            </w:r>
          </w:p>
        </w:tc>
        <w:tc>
          <w:tcPr/>
          <w:p>
            <w:pPr>
              <w:pStyle w:val="Normal"/>
              <w:jc w:val="left"/>
              <w:spacing w:line="240" w:lineRule="auto" w:after="0"/>
            </w:pPr>
            <w:r>
              <w:rPr>
                <w:rFonts w:ascii="Times New Roman" w:hAnsi="Times New Roman" w:cs="Times New Roman" w:eastAsia="Times New Roman"/>
                <w:sz w:val="20"/>
                <w:szCs w:val="20"/>
              </w:rPr>
              <w:t xml:space="preserve">HR 0.85 (0.55--1.24)</w:t>
            </w:r>
          </w:p>
        </w:tc>
        <w:tc>
          <w:tcPr/>
          <w:p>
            <w:pPr>
              <w:pStyle w:val="Normal"/>
              <w:jc w:val="left"/>
              <w:spacing w:line="240" w:lineRule="auto" w:after="0"/>
            </w:pPr>
            <w:r>
              <w:rPr>
                <w:rFonts w:ascii="Times New Roman" w:hAnsi="Times New Roman" w:cs="Times New Roman" w:eastAsia="Times New Roman"/>
                <w:sz w:val="20"/>
                <w:szCs w:val="20"/>
              </w:rPr>
              <w:t xml:space="preserve">86.5%</w:t>
            </w:r>
          </w:p>
        </w:tc>
        <w:tc>
          <w:tcPr/>
          <w:p>
            <w:pPr>
              <w:pStyle w:val="Normal"/>
              <w:jc w:val="left"/>
              <w:spacing w:line="240" w:lineRule="auto" w:after="0"/>
            </w:pPr>
            <w:r>
              <w:rPr>
                <w:rFonts w:ascii="Times New Roman" w:hAnsi="Times New Roman" w:cs="Times New Roman" w:eastAsia="Times New Roman"/>
                <w:sz w:val="20"/>
                <w:szCs w:val="20"/>
              </w:rPr>
              <w:t xml:space="preserve">66.0%</w:t>
            </w:r>
          </w:p>
        </w:tc>
        <w:tc>
          <w:tcPr/>
          <w:p>
            <w:pPr>
              <w:pStyle w:val="Normal"/>
              <w:jc w:val="left"/>
              <w:spacing w:line="240" w:lineRule="auto" w:after="0"/>
            </w:pPr>
            <w:r>
              <w:rPr>
                <w:rFonts w:ascii="Times New Roman" w:hAnsi="Times New Roman" w:cs="Times New Roman" w:eastAsia="Times New Roman"/>
                <w:sz w:val="20"/>
                <w:szCs w:val="20"/>
              </w:rPr>
              <w:t xml:space="preserve">31.1%</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0.5</w:t>
            </w:r>
          </w:p>
        </w:tc>
        <w:tc>
          <w:tcPr/>
          <w:p>
            <w:pPr>
              <w:pStyle w:val="Normal"/>
              <w:jc w:val="left"/>
              <w:spacing w:line="240" w:lineRule="auto" w:after="0"/>
            </w:pPr>
            <w:r>
              <w:rPr>
                <w:rFonts w:ascii="Times New Roman" w:hAnsi="Times New Roman" w:cs="Times New Roman" w:eastAsia="Times New Roman"/>
                <w:sz w:val="20"/>
                <w:szCs w:val="20"/>
              </w:rPr>
              <w:t xml:space="preserve">OR 0.63 (0.28--1.10)</w:t>
            </w:r>
          </w:p>
        </w:tc>
        <w:tc>
          <w:tcPr/>
          <w:p>
            <w:pPr>
              <w:pStyle w:val="Normal"/>
              <w:jc w:val="left"/>
              <w:spacing w:line="240" w:lineRule="auto" w:after="0"/>
            </w:pPr>
            <w:r>
              <w:rPr>
                <w:rFonts w:ascii="Times New Roman" w:hAnsi="Times New Roman" w:cs="Times New Roman" w:eastAsia="Times New Roman"/>
                <w:sz w:val="20"/>
                <w:szCs w:val="20"/>
              </w:rPr>
              <w:t xml:space="preserve">94.0%</w:t>
            </w:r>
          </w:p>
        </w:tc>
        <w:tc>
          <w:tcPr/>
          <w:p>
            <w:pPr>
              <w:pStyle w:val="Normal"/>
              <w:jc w:val="left"/>
              <w:spacing w:line="240" w:lineRule="auto" w:after="0"/>
            </w:pPr>
            <w:r>
              <w:rPr>
                <w:rFonts w:ascii="Times New Roman" w:hAnsi="Times New Roman" w:cs="Times New Roman" w:eastAsia="Times New Roman"/>
                <w:sz w:val="20"/>
                <w:szCs w:val="20"/>
              </w:rPr>
              <w:t xml:space="preserve">87.2%</w:t>
            </w:r>
          </w:p>
        </w:tc>
        <w:tc>
          <w:tcPr/>
          <w:p>
            <w:pPr>
              <w:pStyle w:val="Normal"/>
              <w:jc w:val="left"/>
              <w:spacing w:line="240" w:lineRule="auto" w:after="0"/>
            </w:pPr>
            <w:r>
              <w:rPr>
                <w:rFonts w:ascii="Times New Roman" w:hAnsi="Times New Roman" w:cs="Times New Roman" w:eastAsia="Times New Roman"/>
                <w:sz w:val="20"/>
                <w:szCs w:val="20"/>
              </w:rPr>
              <w:t xml:space="preserve">76.3%</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0.5</w:t>
            </w:r>
          </w:p>
        </w:tc>
        <w:tc>
          <w:tcPr/>
          <w:p>
            <w:pPr>
              <w:pStyle w:val="Normal"/>
              <w:jc w:val="left"/>
              <w:spacing w:line="240" w:lineRule="auto" w:after="0"/>
            </w:pPr>
            <w:r>
              <w:rPr>
                <w:rFonts w:ascii="Times New Roman" w:hAnsi="Times New Roman" w:cs="Times New Roman" w:eastAsia="Times New Roman"/>
                <w:sz w:val="20"/>
                <w:szCs w:val="20"/>
              </w:rPr>
              <w:t xml:space="preserve">HR 0.82 (0.59--1.10)</w:t>
            </w:r>
          </w:p>
        </w:tc>
        <w:tc>
          <w:tcPr/>
          <w:p>
            <w:pPr>
              <w:pStyle w:val="Normal"/>
              <w:jc w:val="left"/>
              <w:spacing w:line="240" w:lineRule="auto" w:after="0"/>
            </w:pPr>
            <w:r>
              <w:rPr>
                <w:rFonts w:ascii="Times New Roman" w:hAnsi="Times New Roman" w:cs="Times New Roman" w:eastAsia="Times New Roman"/>
                <w:sz w:val="20"/>
                <w:szCs w:val="20"/>
              </w:rPr>
              <w:t xml:space="preserve">93.9%</w:t>
            </w:r>
          </w:p>
        </w:tc>
        <w:tc>
          <w:tcPr/>
          <w:p>
            <w:pPr>
              <w:pStyle w:val="Normal"/>
              <w:jc w:val="left"/>
              <w:spacing w:line="240" w:lineRule="auto" w:after="0"/>
            </w:pPr>
            <w:r>
              <w:rPr>
                <w:rFonts w:ascii="Times New Roman" w:hAnsi="Times New Roman" w:cs="Times New Roman" w:eastAsia="Times New Roman"/>
                <w:sz w:val="20"/>
                <w:szCs w:val="20"/>
              </w:rPr>
              <w:t xml:space="preserve">79.6%</w:t>
            </w:r>
          </w:p>
        </w:tc>
        <w:tc>
          <w:tcPr/>
          <w:p>
            <w:pPr>
              <w:pStyle w:val="Normal"/>
              <w:jc w:val="left"/>
              <w:spacing w:line="240" w:lineRule="auto" w:after="0"/>
            </w:pPr>
            <w:r>
              <w:rPr>
                <w:rFonts w:ascii="Times New Roman" w:hAnsi="Times New Roman" w:cs="Times New Roman" w:eastAsia="Times New Roman"/>
                <w:sz w:val="20"/>
                <w:szCs w:val="20"/>
              </w:rPr>
              <w:t xml:space="preserve">41.9%</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0.7</w:t>
            </w:r>
          </w:p>
        </w:tc>
        <w:tc>
          <w:tcPr/>
          <w:p>
            <w:pPr>
              <w:pStyle w:val="Normal"/>
              <w:jc w:val="left"/>
              <w:spacing w:line="240" w:lineRule="auto" w:after="0"/>
            </w:pPr>
            <w:r>
              <w:rPr>
                <w:rFonts w:ascii="Times New Roman" w:hAnsi="Times New Roman" w:cs="Times New Roman" w:eastAsia="Times New Roman"/>
                <w:sz w:val="20"/>
                <w:szCs w:val="20"/>
              </w:rPr>
              <w:t xml:space="preserve">OR 0.59 (0.29--0.98)</w:t>
            </w:r>
          </w:p>
        </w:tc>
        <w:tc>
          <w:tcPr/>
          <w:p>
            <w:pPr>
              <w:pStyle w:val="Normal"/>
              <w:jc w:val="left"/>
              <w:spacing w:line="240" w:lineRule="auto" w:after="0"/>
            </w:pPr>
            <w:r>
              <w:rPr>
                <w:rFonts w:ascii="Times New Roman" w:hAnsi="Times New Roman" w:cs="Times New Roman" w:eastAsia="Times New Roman"/>
                <w:sz w:val="20"/>
                <w:szCs w:val="20"/>
              </w:rPr>
              <w:t xml:space="preserve">98.1%</w:t>
            </w:r>
          </w:p>
        </w:tc>
        <w:tc>
          <w:tcPr/>
          <w:p>
            <w:pPr>
              <w:pStyle w:val="Normal"/>
              <w:jc w:val="left"/>
              <w:spacing w:line="240" w:lineRule="auto" w:after="0"/>
            </w:pPr>
            <w:r>
              <w:rPr>
                <w:rFonts w:ascii="Times New Roman" w:hAnsi="Times New Roman" w:cs="Times New Roman" w:eastAsia="Times New Roman"/>
                <w:sz w:val="20"/>
                <w:szCs w:val="20"/>
              </w:rPr>
              <w:t xml:space="preserve">94.8%</w:t>
            </w:r>
          </w:p>
        </w:tc>
        <w:tc>
          <w:tcPr/>
          <w:p>
            <w:pPr>
              <w:pStyle w:val="Normal"/>
              <w:jc w:val="left"/>
              <w:spacing w:line="240" w:lineRule="auto" w:after="0"/>
            </w:pPr>
            <w:r>
              <w:rPr>
                <w:rFonts w:ascii="Times New Roman" w:hAnsi="Times New Roman" w:cs="Times New Roman" w:eastAsia="Times New Roman"/>
                <w:sz w:val="20"/>
                <w:szCs w:val="20"/>
              </w:rPr>
              <w:t xml:space="preserve">87.1%</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0.7</w:t>
            </w:r>
          </w:p>
        </w:tc>
        <w:tc>
          <w:tcPr/>
          <w:p>
            <w:pPr>
              <w:pStyle w:val="Normal"/>
              <w:jc w:val="left"/>
              <w:spacing w:line="240" w:lineRule="auto" w:after="0"/>
            </w:pPr>
            <w:r>
              <w:rPr>
                <w:rFonts w:ascii="Times New Roman" w:hAnsi="Times New Roman" w:cs="Times New Roman" w:eastAsia="Times New Roman"/>
                <w:sz w:val="20"/>
                <w:szCs w:val="20"/>
              </w:rPr>
              <w:t xml:space="preserve">HR 0.80 (0.62--1.00)</w:t>
            </w:r>
          </w:p>
        </w:tc>
        <w:tc>
          <w:tcPr/>
          <w:p>
            <w:pPr>
              <w:pStyle w:val="Normal"/>
              <w:jc w:val="left"/>
              <w:spacing w:line="240" w:lineRule="auto" w:after="0"/>
            </w:pPr>
            <w:r>
              <w:rPr>
                <w:rFonts w:ascii="Times New Roman" w:hAnsi="Times New Roman" w:cs="Times New Roman" w:eastAsia="Times New Roman"/>
                <w:sz w:val="20"/>
                <w:szCs w:val="20"/>
              </w:rPr>
              <w:t xml:space="preserve">97.3%</w:t>
            </w:r>
          </w:p>
        </w:tc>
        <w:tc>
          <w:tcPr/>
          <w:p>
            <w:pPr>
              <w:pStyle w:val="Normal"/>
              <w:jc w:val="left"/>
              <w:spacing w:line="240" w:lineRule="auto" w:after="0"/>
            </w:pPr>
            <w:r>
              <w:rPr>
                <w:rFonts w:ascii="Times New Roman" w:hAnsi="Times New Roman" w:cs="Times New Roman" w:eastAsia="Times New Roman"/>
                <w:sz w:val="20"/>
                <w:szCs w:val="20"/>
              </w:rPr>
              <w:t xml:space="preserve">88.3%</w:t>
            </w:r>
          </w:p>
        </w:tc>
        <w:tc>
          <w:tcPr/>
          <w:p>
            <w:pPr>
              <w:pStyle w:val="Normal"/>
              <w:jc w:val="left"/>
              <w:spacing w:line="240" w:lineRule="auto" w:after="0"/>
            </w:pPr>
            <w:r>
              <w:rPr>
                <w:rFonts w:ascii="Times New Roman" w:hAnsi="Times New Roman" w:cs="Times New Roman" w:eastAsia="Times New Roman"/>
                <w:sz w:val="20"/>
                <w:szCs w:val="20"/>
              </w:rPr>
              <w:t xml:space="preserve">49.7%</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1.0 (full weight)</w:t>
            </w:r>
          </w:p>
        </w:tc>
        <w:tc>
          <w:tcPr/>
          <w:p>
            <w:pPr>
              <w:pStyle w:val="Normal"/>
              <w:jc w:val="left"/>
              <w:spacing w:line="240" w:lineRule="auto" w:after="0"/>
            </w:pPr>
            <w:r>
              <w:rPr>
                <w:rFonts w:ascii="Times New Roman" w:hAnsi="Times New Roman" w:cs="Times New Roman" w:eastAsia="Times New Roman"/>
                <w:sz w:val="20"/>
                <w:szCs w:val="20"/>
              </w:rPr>
              <w:t xml:space="preserve">OR 0.55 (0.32--0.87)</w:t>
            </w:r>
          </w:p>
        </w:tc>
        <w:tc>
          <w:tcPr/>
          <w:p>
            <w:pPr>
              <w:pStyle w:val="Normal"/>
              <w:jc w:val="left"/>
              <w:spacing w:line="240" w:lineRule="auto" w:after="0"/>
            </w:pPr>
            <w:r>
              <w:rPr>
                <w:rFonts w:ascii="Times New Roman" w:hAnsi="Times New Roman" w:cs="Times New Roman" w:eastAsia="Times New Roman"/>
                <w:sz w:val="20"/>
                <w:szCs w:val="20"/>
              </w:rPr>
              <w:t xml:space="preserve">99.6%</w:t>
            </w:r>
          </w:p>
        </w:tc>
        <w:tc>
          <w:tcPr/>
          <w:p>
            <w:pPr>
              <w:pStyle w:val="Normal"/>
              <w:jc w:val="left"/>
              <w:spacing w:line="240" w:lineRule="auto" w:after="0"/>
            </w:pPr>
            <w:r>
              <w:rPr>
                <w:rFonts w:ascii="Times New Roman" w:hAnsi="Times New Roman" w:cs="Times New Roman" w:eastAsia="Times New Roman"/>
                <w:sz w:val="20"/>
                <w:szCs w:val="20"/>
              </w:rPr>
              <w:t xml:space="preserve">98.4%</w:t>
            </w:r>
          </w:p>
        </w:tc>
        <w:tc>
          <w:tcPr/>
          <w:p>
            <w:pPr>
              <w:pStyle w:val="Normal"/>
              <w:jc w:val="left"/>
              <w:spacing w:line="240" w:lineRule="auto" w:after="0"/>
            </w:pPr>
            <w:r>
              <w:rPr>
                <w:rFonts w:ascii="Times New Roman" w:hAnsi="Times New Roman" w:cs="Times New Roman" w:eastAsia="Times New Roman"/>
                <w:sz w:val="20"/>
                <w:szCs w:val="20"/>
              </w:rPr>
              <w:t xml:space="preserve">94.4%</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1.0 (full weight)</w:t>
            </w:r>
          </w:p>
        </w:tc>
        <w:tc>
          <w:tcPr/>
          <w:p>
            <w:pPr>
              <w:pStyle w:val="Normal"/>
              <w:jc w:val="left"/>
              <w:spacing w:line="240" w:lineRule="auto" w:after="0"/>
            </w:pPr>
            <w:r>
              <w:rPr>
                <w:rFonts w:ascii="Times New Roman" w:hAnsi="Times New Roman" w:cs="Times New Roman" w:eastAsia="Times New Roman"/>
                <w:sz w:val="20"/>
                <w:szCs w:val="20"/>
              </w:rPr>
              <w:t xml:space="preserve">HR 0.78 (0.64--0.93)</w:t>
            </w:r>
          </w:p>
        </w:tc>
        <w:tc>
          <w:tcPr/>
          <w:p>
            <w:pPr>
              <w:pStyle w:val="Normal"/>
              <w:jc w:val="left"/>
              <w:spacing w:line="240" w:lineRule="auto" w:after="0"/>
            </w:pPr>
            <w:r>
              <w:rPr>
                <w:rFonts w:ascii="Times New Roman" w:hAnsi="Times New Roman" w:cs="Times New Roman" w:eastAsia="Times New Roman"/>
                <w:sz w:val="20"/>
                <w:szCs w:val="20"/>
              </w:rPr>
              <w:t xml:space="preserve">99.3%</w:t>
            </w:r>
          </w:p>
        </w:tc>
        <w:tc>
          <w:tcPr/>
          <w:p>
            <w:pPr>
              <w:pStyle w:val="Normal"/>
              <w:jc w:val="left"/>
              <w:spacing w:line="240" w:lineRule="auto" w:after="0"/>
            </w:pPr>
            <w:r>
              <w:rPr>
                <w:rFonts w:ascii="Times New Roman" w:hAnsi="Times New Roman" w:cs="Times New Roman" w:eastAsia="Times New Roman"/>
                <w:sz w:val="20"/>
                <w:szCs w:val="20"/>
              </w:rPr>
              <w:t xml:space="preserve">95.7%</w:t>
            </w:r>
          </w:p>
        </w:tc>
        <w:tc>
          <w:tcPr/>
          <w:p>
            <w:pPr>
              <w:pStyle w:val="Normal"/>
              <w:jc w:val="left"/>
              <w:spacing w:line="240" w:lineRule="auto" w:after="0"/>
            </w:pPr>
            <w:r>
              <w:rPr>
                <w:rFonts w:ascii="Times New Roman" w:hAnsi="Times New Roman" w:cs="Times New Roman" w:eastAsia="Times New Roman"/>
                <w:sz w:val="20"/>
                <w:szCs w:val="20"/>
              </w:rPr>
              <w:t xml:space="preserve">63.3%</w:t>
            </w:r>
          </w:p>
        </w:tc>
      </w:tr>
    </w:tbl>
    <w:p>
      <w:pPr>
        <w:jc w:val="center"/>
      </w:pPr>
      <w:r>
        <w:drawing>
          <wp:inline xmlns:a="http://schemas.openxmlformats.org/drawingml/2006/main" xmlns:pic="http://schemas.openxmlformats.org/drawingml/2006/picture">
            <wp:extent cx="5029200" cy="2061328"/>
            <wp:docPr id="5" name="Picture 5"/>
            <wp:cNvGraphicFramePr>
              <a:graphicFrameLocks noChangeAspect="1"/>
            </wp:cNvGraphicFramePr>
            <a:graphic>
              <a:graphicData uri="http://schemas.openxmlformats.org/drawingml/2006/picture">
                <pic:pic>
                  <pic:nvPicPr>
                    <pic:cNvPr id="0" name="fig7_sensitivity_analysis.png"/>
                    <pic:cNvPicPr/>
                  </pic:nvPicPr>
                  <pic:blipFill>
                    <a:blip r:embed="rId14"/>
                    <a:stretch>
                      <a:fillRect/>
                    </a:stretch>
                  </pic:blipFill>
                  <pic:spPr>
                    <a:xfrm>
                      <a:off x="0" y="0"/>
                      <a:ext cx="5029200" cy="2061328"/>
                    </a:xfrm>
                    <a:prstGeom prst="rect"/>
                  </pic:spPr>
                </pic:pic>
              </a:graphicData>
            </a:graphic>
          </wp:inline>
        </w:drawing>
      </w:r>
    </w:p>
    <w:p>
      <w:pPr>
        <w:jc w:val="left"/>
      </w:pPr>
      <w:r>
        <w:rPr>
          <w:rFonts w:ascii="Times New Roman" w:hAnsi="Times New Roman"/>
          <w:b/>
          <w:sz w:val="20"/>
        </w:rPr>
        <w:t xml:space="preserve">Figure 5. </w:t>
      </w:r>
      <w:r>
        <w:rPr>
          <w:rFonts w:ascii="Times New Roman" w:hAnsi="Times New Roman"/>
          <w:sz w:val="20"/>
        </w:rPr>
        <w:t>Sensitivity analysis of Bayesian integration to the discounting parameter alpha. (A) Magnesium in AMI. (B) Statins in HF. Three posterior probability thresholds are shown: P(effect &lt; 1.0), P(effect &lt; 0.90), and P(effect &lt; 0.80). Horizontal dashed line indicates 95% probability.</w:t>
      </w:r>
    </w:p>
    <w:p>
      <w:pPr>
        <w:pStyle w:val="Heading3"/>
      </w:pPr>
      <w:r>
        <w:rPr>
          <w:rFonts w:ascii="Times New Roman" w:hAnsi="Times New Roman"/>
          <w:b/>
          <w:color w:val="000000"/>
          <w:sz w:val="24"/>
        </w:rPr>
        <w:t>Module H assessment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H results are summarized in Supplementary Table S5 and Supplementary Fig. S3. For magnesium, the OIS for the pre-ISIS-4 effect was 85 events and the observed total was 4,617 (information fraction 5426%). The TSA efficacy boundary was crossed under random-effects accumulation, but the pooled estimate was dominated by high between-study heterogeneity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The appropriate KOTHA classification is</w:t>
      </w: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Inconclusive with serious inconsistency (heterogeneity)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(TSA/CI indicate benefit but the signal is downgraded by serious inconsistency (heterogeneity)). For statins, if the observational effect (HR 0.72) represented the true effect in the target population, the required information size would be 279 events; the RCTs contributed 1,385 events (information fraction 496%). The cumulative</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-0.74, the efficacy boundary was not crossed, and the event rate ratio was 0.51; the appropriate classification is</w:t>
      </w: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Inconclusive with serious indirectness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(OIS reached but no TSA/CI boundary crossed; serious indirectness from enrollment-driven event dilution). In both cases, standard GRADE would be more likely to conclude "no benefit demonstrated," whereas KOTHA explicitly labels the evidence as informationally insufficient.</w:t>
      </w:r>
    </w:p>
    <w:p>
      <w:pPr>
        <w:pStyle w:val="Heading3"/>
      </w:pPr>
      <w:r>
        <w:rPr>
          <w:rFonts w:ascii="Times New Roman" w:hAnsi="Times New Roman"/>
          <w:b/>
          <w:color w:val="000000"/>
          <w:sz w:val="24"/>
        </w:rPr>
        <w:t>Simulation study of operating characteristics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formal causal model produced a controlled setting in which structural information loss could be quantified. Across 500 replications, the target meta-analysis that used all RCTs showed negligible bias (-0.040 log-OR) and the lowest RMSE (0.119) (Table 2 and Fig. 6). The RCT-enrolled-only analysis was biased toward the null (+0.127), had inflated RMSE (0.160), and low power (24.4%), because low-risk enrollment diluted event rates and shifted the estimand. The observational-only estimate was biased in the opposite direction (-0.224) and also had poor coverage.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KOTHA with a fixed power-prior discount of</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reduced the absolute bias by 69% and the RMSE by 37% compared with RCT-enrolled only, and increased power by 63 percentage points. The RMSE-optimal discount was</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0.1; at that value the RMSE reduction was 43% and the power gain was 46 percentage points relative to RCT-enrolled only. These gains came from combining a small amount of observational information while down-weighting its design-related bias.</w:t>
      </w:r>
    </w:p>
    <w:p>
      <w:r>
        <w:rPr>
          <w:rFonts w:ascii="Times New Roman" w:hAnsi="Times New Roman"/>
          <w:b/>
          <w:i w:val="0"/>
          <w:sz w:val="24"/>
        </w:rPr>
        <w:t>Table 2: Operating characteristics of the KOTHA power-prior combination relative to alternative estimators.</w:t>
      </w:r>
    </w:p>
    <w:tbl xmlns:a="http://schemas.openxmlformats.org/drawingml/2006/main" xmlns:pic="http://schemas.openxmlformats.org/drawingml/2006/picture">
      <w:tblPr>
        <w:tblStyle w:val="Table Grid"/>
        <w:tblW w:type="auto" w:w="0"/>
        <w:tblLook w:firstRow="1" w:lastRow="0" w:firstColumn="0" w:lastColumn="0" w:noHBand="0" w:noVBand="0" w:val="0020"/>
        <w:jc w:val="center"/>
      </w:tblPr>
      <w:tblGrid>
        <w:gridCol w:w="1584"/>
        <w:gridCol w:w="1584"/>
        <w:gridCol w:w="1584"/>
        <w:gridCol w:w="1584"/>
        <w:gridCol w:w="1584"/>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Estimator</w:t>
            </w:r>
          </w:p>
        </w:tc>
        <w:tc>
          <w:tcPr/>
          <w:p>
            <w:pPr>
              <w:pStyle w:val="Normal"/>
              <w:jc w:val="left"/>
              <w:spacing w:line="240" w:lineRule="auto" w:after="0"/>
            </w:pPr>
            <w:r>
              <w:rPr>
                <w:rFonts w:ascii="Times New Roman" w:hAnsi="Times New Roman" w:cs="Times New Roman" w:eastAsia="Times New Roman"/>
                <w:sz w:val="20"/>
                <w:szCs w:val="20"/>
                <w:b/>
              </w:rPr>
              <w:t xml:space="preserve">Bias (log-OR)</w:t>
            </w:r>
          </w:p>
        </w:tc>
        <w:tc>
          <w:tcPr/>
          <w:p>
            <w:pPr>
              <w:pStyle w:val="Normal"/>
              <w:jc w:val="left"/>
              <w:spacing w:line="240" w:lineRule="auto" w:after="0"/>
            </w:pPr>
            <w:r>
              <w:rPr>
                <w:rFonts w:ascii="Times New Roman" w:hAnsi="Times New Roman" w:cs="Times New Roman" w:eastAsia="Times New Roman"/>
                <w:sz w:val="20"/>
                <w:szCs w:val="20"/>
                <w:b/>
              </w:rPr>
              <w:t xml:space="preserve">RMSE (log-OR)</w:t>
            </w:r>
          </w:p>
        </w:tc>
        <w:tc>
          <w:tcPr/>
          <w:p>
            <w:pPr>
              <w:pStyle w:val="Normal"/>
              <w:jc w:val="left"/>
              <w:spacing w:line="240" w:lineRule="auto" w:after="0"/>
            </w:pPr>
            <w:r>
              <w:rPr>
                <w:rFonts w:ascii="Times New Roman" w:hAnsi="Times New Roman" w:cs="Times New Roman" w:eastAsia="Times New Roman"/>
                <w:sz w:val="20"/>
                <w:szCs w:val="20"/>
                <w:b/>
              </w:rPr>
              <w:t xml:space="preserve">95% coverage</w:t>
            </w:r>
          </w:p>
        </w:tc>
        <w:tc>
          <w:tcPr/>
          <w:p>
            <w:pPr>
              <w:pStyle w:val="Normal"/>
              <w:jc w:val="left"/>
              <w:spacing w:line="240" w:lineRule="auto" w:after="0"/>
            </w:pPr>
            <w:r>
              <w:rPr>
                <w:rFonts w:ascii="Times New Roman" w:hAnsi="Times New Roman" w:cs="Times New Roman" w:eastAsia="Times New Roman"/>
                <w:sz w:val="20"/>
                <w:szCs w:val="20"/>
                <w:b/>
              </w:rPr>
              <w:t xml:space="preserve">Power</w:t>
            </w:r>
          </w:p>
        </w:tc>
      </w:tr>
      <w:tr>
        <w:tc>
          <w:tcPr/>
          <w:p>
            <w:pPr>
              <w:pStyle w:val="Normal"/>
              <w:jc w:val="left"/>
              <w:spacing w:line="240" w:lineRule="auto" w:after="0"/>
            </w:pPr>
            <w:r>
              <w:rPr>
                <w:rFonts w:ascii="Times New Roman" w:hAnsi="Times New Roman" w:cs="Times New Roman" w:eastAsia="Times New Roman"/>
                <w:sz w:val="20"/>
                <w:szCs w:val="20"/>
              </w:rPr>
              <w:t xml:space="preserve">Target (all RCTs)</w:t>
            </w:r>
          </w:p>
        </w:tc>
        <w:tc>
          <w:tcPr/>
          <w:p>
            <w:pPr>
              <w:pStyle w:val="Normal"/>
              <w:jc w:val="left"/>
              <w:spacing w:line="240" w:lineRule="auto" w:after="0"/>
            </w:pPr>
            <w:r>
              <w:rPr>
                <w:rFonts w:ascii="Times New Roman" w:hAnsi="Times New Roman" w:cs="Times New Roman" w:eastAsia="Times New Roman"/>
                <w:sz w:val="20"/>
                <w:szCs w:val="20"/>
              </w:rPr>
              <w:t xml:space="preserve">-0.040</w:t>
            </w:r>
          </w:p>
        </w:tc>
        <w:tc>
          <w:tcPr/>
          <w:p>
            <w:pPr>
              <w:pStyle w:val="Normal"/>
              <w:jc w:val="left"/>
              <w:spacing w:line="240" w:lineRule="auto" w:after="0"/>
            </w:pPr>
            <w:r>
              <w:rPr>
                <w:rFonts w:ascii="Times New Roman" w:hAnsi="Times New Roman" w:cs="Times New Roman" w:eastAsia="Times New Roman"/>
                <w:sz w:val="20"/>
                <w:szCs w:val="20"/>
              </w:rPr>
              <w:t xml:space="preserve">0.119</w:t>
            </w:r>
          </w:p>
        </w:tc>
        <w:tc>
          <w:tcPr/>
          <w:p>
            <w:pPr>
              <w:pStyle w:val="Normal"/>
              <w:jc w:val="left"/>
              <w:spacing w:line="240" w:lineRule="auto" w:after="0"/>
            </w:pPr>
            <w:r>
              <w:rPr>
                <w:rFonts w:ascii="Times New Roman" w:hAnsi="Times New Roman" w:cs="Times New Roman" w:eastAsia="Times New Roman"/>
                <w:sz w:val="20"/>
                <w:szCs w:val="20"/>
              </w:rPr>
              <w:t xml:space="preserve">91.2%</w:t>
            </w:r>
          </w:p>
        </w:tc>
        <w:tc>
          <w:tcPr/>
          <w:p>
            <w:pPr>
              <w:pStyle w:val="Normal"/>
              <w:jc w:val="left"/>
              <w:spacing w:line="240" w:lineRule="auto" w:after="0"/>
            </w:pPr>
            <w:r>
              <w:rPr>
                <w:rFonts w:ascii="Times New Roman" w:hAnsi="Times New Roman" w:cs="Times New Roman" w:eastAsia="Times New Roman"/>
                <w:sz w:val="20"/>
                <w:szCs w:val="20"/>
              </w:rPr>
              <w:t xml:space="preserve">67.8%</w:t>
            </w:r>
          </w:p>
        </w:tc>
      </w:tr>
      <w:tr>
        <w:tc>
          <w:tcPr/>
          <w:p>
            <w:pPr>
              <w:pStyle w:val="Normal"/>
              <w:jc w:val="left"/>
              <w:spacing w:line="240" w:lineRule="auto" w:after="0"/>
            </w:pPr>
            <w:r>
              <w:rPr>
                <w:rFonts w:ascii="Times New Roman" w:hAnsi="Times New Roman" w:cs="Times New Roman" w:eastAsia="Times New Roman"/>
                <w:sz w:val="20"/>
                <w:szCs w:val="20"/>
              </w:rPr>
              <w:t xml:space="preserve">RCT-enrolled only</w:t>
            </w:r>
          </w:p>
        </w:tc>
        <w:tc>
          <w:tcPr/>
          <w:p>
            <w:pPr>
              <w:pStyle w:val="Normal"/>
              <w:jc w:val="left"/>
              <w:spacing w:line="240" w:lineRule="auto" w:after="0"/>
            </w:pPr>
            <w:r>
              <w:rPr>
                <w:rFonts w:ascii="Times New Roman" w:hAnsi="Times New Roman" w:cs="Times New Roman" w:eastAsia="Times New Roman"/>
                <w:sz w:val="20"/>
                <w:szCs w:val="20"/>
              </w:rPr>
              <w:t xml:space="preserve">+0.127</w:t>
            </w:r>
          </w:p>
        </w:tc>
        <w:tc>
          <w:tcPr/>
          <w:p>
            <w:pPr>
              <w:pStyle w:val="Normal"/>
              <w:jc w:val="left"/>
              <w:spacing w:line="240" w:lineRule="auto" w:after="0"/>
            </w:pPr>
            <w:r>
              <w:rPr>
                <w:rFonts w:ascii="Times New Roman" w:hAnsi="Times New Roman" w:cs="Times New Roman" w:eastAsia="Times New Roman"/>
                <w:sz w:val="20"/>
                <w:szCs w:val="20"/>
              </w:rPr>
              <w:t xml:space="preserve">0.160</w:t>
            </w:r>
          </w:p>
        </w:tc>
        <w:tc>
          <w:tcPr/>
          <w:p>
            <w:pPr>
              <w:pStyle w:val="Normal"/>
              <w:jc w:val="left"/>
              <w:spacing w:line="240" w:lineRule="auto" w:after="0"/>
            </w:pPr>
            <w:r>
              <w:rPr>
                <w:rFonts w:ascii="Times New Roman" w:hAnsi="Times New Roman" w:cs="Times New Roman" w:eastAsia="Times New Roman"/>
                <w:sz w:val="20"/>
                <w:szCs w:val="20"/>
              </w:rPr>
              <w:t xml:space="preserve">73.6%</w:t>
            </w:r>
          </w:p>
        </w:tc>
        <w:tc>
          <w:tcPr/>
          <w:p>
            <w:pPr>
              <w:pStyle w:val="Normal"/>
              <w:jc w:val="left"/>
              <w:spacing w:line="240" w:lineRule="auto" w:after="0"/>
            </w:pPr>
            <w:r>
              <w:rPr>
                <w:rFonts w:ascii="Times New Roman" w:hAnsi="Times New Roman" w:cs="Times New Roman" w:eastAsia="Times New Roman"/>
                <w:sz w:val="20"/>
                <w:szCs w:val="20"/>
              </w:rPr>
              <w:t xml:space="preserve">24.4%</w:t>
            </w:r>
          </w:p>
        </w:tc>
      </w:tr>
      <w:tr>
        <w:tc>
          <w:tcPr/>
          <w:p>
            <w:pPr>
              <w:pStyle w:val="Normal"/>
              <w:jc w:val="left"/>
              <w:spacing w:line="240" w:lineRule="auto" w:after="0"/>
            </w:pPr>
            <w:r>
              <w:rPr>
                <w:rFonts w:ascii="Times New Roman" w:hAnsi="Times New Roman" w:cs="Times New Roman" w:eastAsia="Times New Roman"/>
                <w:sz w:val="20"/>
                <w:szCs w:val="20"/>
              </w:rPr>
              <w:t xml:space="preserve">Observational only</w:t>
            </w:r>
          </w:p>
        </w:tc>
        <w:tc>
          <w:tcPr/>
          <w:p>
            <w:pPr>
              <w:pStyle w:val="Normal"/>
              <w:jc w:val="left"/>
              <w:spacing w:line="240" w:lineRule="auto" w:after="0"/>
            </w:pPr>
            <w:r>
              <w:rPr>
                <w:rFonts w:ascii="Times New Roman" w:hAnsi="Times New Roman" w:cs="Times New Roman" w:eastAsia="Times New Roman"/>
                <w:sz w:val="20"/>
                <w:szCs w:val="20"/>
              </w:rPr>
              <w:t xml:space="preserve">-0.224</w:t>
            </w:r>
          </w:p>
        </w:tc>
        <w:tc>
          <w:tcPr/>
          <w:p>
            <w:pPr>
              <w:pStyle w:val="Normal"/>
              <w:jc w:val="left"/>
              <w:spacing w:line="240" w:lineRule="auto" w:after="0"/>
            </w:pPr>
            <w:r>
              <w:rPr>
                <w:rFonts w:ascii="Times New Roman" w:hAnsi="Times New Roman" w:cs="Times New Roman" w:eastAsia="Times New Roman"/>
                <w:sz w:val="20"/>
                <w:szCs w:val="20"/>
              </w:rPr>
              <w:t xml:space="preserve">0.248</w:t>
            </w:r>
          </w:p>
        </w:tc>
        <w:tc>
          <w:tcPr/>
          <w:p>
            <w:pPr>
              <w:pStyle w:val="Normal"/>
              <w:jc w:val="left"/>
              <w:spacing w:line="240" w:lineRule="auto" w:after="0"/>
            </w:pPr>
            <w:r>
              <w:rPr>
                <w:rFonts w:ascii="Times New Roman" w:hAnsi="Times New Roman" w:cs="Times New Roman" w:eastAsia="Times New Roman"/>
                <w:sz w:val="20"/>
                <w:szCs w:val="20"/>
              </w:rPr>
              <w:t xml:space="preserve">45.4%</w:t>
            </w:r>
          </w:p>
        </w:tc>
        <w:tc>
          <w:tcPr/>
          <w:p>
            <w:pPr>
              <w:pStyle w:val="Normal"/>
              <w:jc w:val="left"/>
              <w:spacing w:line="240" w:lineRule="auto" w:after="0"/>
            </w:pPr>
            <w:r>
              <w:rPr>
                <w:rFonts w:ascii="Times New Roman" w:hAnsi="Times New Roman" w:cs="Times New Roman" w:eastAsia="Times New Roman"/>
                <w:sz w:val="20"/>
                <w:szCs w:val="20"/>
              </w:rPr>
              <w:t xml:space="preserve">97.0%</w:t>
            </w:r>
          </w:p>
        </w:tc>
      </w:tr>
      <w:tr>
        <w:tc>
          <w:tcPr/>
          <w:p>
            <w:pPr>
              <w:pStyle w:val="Normal"/>
              <w:jc w:val="left"/>
              <w:spacing w:line="240" w:lineRule="auto" w:after="0"/>
            </w:pPr>
            <w:r>
              <w:rPr>
                <w:rFonts w:ascii="Times New Roman" w:hAnsi="Times New Roman" w:cs="Times New Roman" w:eastAsia="Times New Roman"/>
                <w:sz w:val="20"/>
                <w:szCs w:val="20"/>
              </w:rPr>
              <w:t xml:space="preserve">KOTHA (fixed alpha = 0.3)</w:t>
            </w:r>
          </w:p>
        </w:tc>
        <w:tc>
          <w:tcPr/>
          <w:p>
            <w:pPr>
              <w:pStyle w:val="Normal"/>
              <w:jc w:val="left"/>
              <w:spacing w:line="240" w:lineRule="auto" w:after="0"/>
            </w:pPr>
            <w:r>
              <w:rPr>
                <w:rFonts w:ascii="Times New Roman" w:hAnsi="Times New Roman" w:cs="Times New Roman" w:eastAsia="Times New Roman"/>
                <w:sz w:val="20"/>
                <w:szCs w:val="20"/>
              </w:rPr>
              <w:t xml:space="preserve">-0.039</w:t>
            </w:r>
          </w:p>
        </w:tc>
        <w:tc>
          <w:tcPr/>
          <w:p>
            <w:pPr>
              <w:pStyle w:val="Normal"/>
              <w:jc w:val="left"/>
              <w:spacing w:line="240" w:lineRule="auto" w:after="0"/>
            </w:pPr>
            <w:r>
              <w:rPr>
                <w:rFonts w:ascii="Times New Roman" w:hAnsi="Times New Roman" w:cs="Times New Roman" w:eastAsia="Times New Roman"/>
                <w:sz w:val="20"/>
                <w:szCs w:val="20"/>
              </w:rPr>
              <w:t xml:space="preserve">0.101</w:t>
            </w:r>
          </w:p>
        </w:tc>
        <w:tc>
          <w:tcPr/>
          <w:p>
            <w:pPr>
              <w:pStyle w:val="Normal"/>
              <w:jc w:val="left"/>
              <w:spacing w:line="240" w:lineRule="auto" w:after="0"/>
            </w:pPr>
            <w:r>
              <w:rPr>
                <w:rFonts w:ascii="Times New Roman" w:hAnsi="Times New Roman" w:cs="Times New Roman" w:eastAsia="Times New Roman"/>
                <w:sz w:val="20"/>
                <w:szCs w:val="20"/>
              </w:rPr>
              <w:t xml:space="preserve">85.2%</w:t>
            </w:r>
          </w:p>
        </w:tc>
        <w:tc>
          <w:tcPr/>
          <w:p>
            <w:pPr>
              <w:pStyle w:val="Normal"/>
              <w:jc w:val="left"/>
              <w:spacing w:line="240" w:lineRule="auto" w:after="0"/>
            </w:pPr>
            <w:r>
              <w:rPr>
                <w:rFonts w:ascii="Times New Roman" w:hAnsi="Times New Roman" w:cs="Times New Roman" w:eastAsia="Times New Roman"/>
                <w:sz w:val="20"/>
                <w:szCs w:val="20"/>
              </w:rPr>
              <w:t xml:space="preserve">87.2%</w:t>
            </w:r>
          </w:p>
        </w:tc>
      </w:tr>
      <w:tr>
        <w:tc>
          <w:tcPr/>
          <w:p>
            <w:pPr>
              <w:pStyle w:val="Normal"/>
              <w:jc w:val="left"/>
              <w:spacing w:line="240" w:lineRule="auto" w:after="0"/>
            </w:pPr>
            <w:r>
              <w:rPr>
                <w:rFonts w:ascii="Times New Roman" w:hAnsi="Times New Roman" w:cs="Times New Roman" w:eastAsia="Times New Roman"/>
                <w:sz w:val="20"/>
                <w:szCs w:val="20"/>
              </w:rPr>
              <w:t xml:space="preserve">KOTHA (RMSE-optimal alpha = 0.1)</w:t>
            </w:r>
          </w:p>
        </w:tc>
        <w:tc>
          <w:tcPr/>
          <w:p>
            <w:pPr>
              <w:pStyle w:val="Normal"/>
              <w:jc w:val="left"/>
              <w:spacing w:line="240" w:lineRule="auto" w:after="0"/>
            </w:pPr>
            <w:r>
              <w:rPr>
                <w:rFonts w:ascii="Times New Roman" w:hAnsi="Times New Roman" w:cs="Times New Roman" w:eastAsia="Times New Roman"/>
                <w:sz w:val="20"/>
                <w:szCs w:val="20"/>
              </w:rPr>
              <w:t xml:space="preserve">+0.024</w:t>
            </w:r>
          </w:p>
        </w:tc>
        <w:tc>
          <w:tcPr/>
          <w:p>
            <w:pPr>
              <w:pStyle w:val="Normal"/>
              <w:jc w:val="left"/>
              <w:spacing w:line="240" w:lineRule="auto" w:after="0"/>
            </w:pPr>
            <w:r>
              <w:rPr>
                <w:rFonts w:ascii="Times New Roman" w:hAnsi="Times New Roman" w:cs="Times New Roman" w:eastAsia="Times New Roman"/>
                <w:sz w:val="20"/>
                <w:szCs w:val="20"/>
              </w:rPr>
              <w:t xml:space="preserve">0.092</w:t>
            </w:r>
          </w:p>
        </w:tc>
        <w:tc>
          <w:tcPr/>
          <w:p>
            <w:pPr>
              <w:pStyle w:val="Normal"/>
              <w:jc w:val="left"/>
              <w:spacing w:line="240" w:lineRule="auto" w:after="0"/>
            </w:pPr>
            <w:r>
              <w:rPr>
                <w:rFonts w:ascii="Times New Roman" w:hAnsi="Times New Roman" w:cs="Times New Roman" w:eastAsia="Times New Roman"/>
                <w:sz w:val="20"/>
                <w:szCs w:val="20"/>
              </w:rPr>
              <w:t xml:space="preserve">89.8%</w:t>
            </w:r>
          </w:p>
        </w:tc>
        <w:tc>
          <w:tcPr/>
          <w:p>
            <w:pPr>
              <w:pStyle w:val="Normal"/>
              <w:jc w:val="left"/>
              <w:spacing w:line="240" w:lineRule="auto" w:after="0"/>
            </w:pPr>
            <w:r>
              <w:rPr>
                <w:rFonts w:ascii="Times New Roman" w:hAnsi="Times New Roman" w:cs="Times New Roman" w:eastAsia="Times New Roman"/>
                <w:sz w:val="20"/>
                <w:szCs w:val="20"/>
              </w:rPr>
              <w:t xml:space="preserve">70.0%</w:t>
            </w:r>
          </w:p>
        </w:tc>
      </w:tr>
    </w:tbl>
    <w:p>
      <w:pPr>
        <w:jc w:val="center"/>
      </w:pPr>
      <w:r>
        <w:drawing>
          <wp:inline xmlns:a="http://schemas.openxmlformats.org/drawingml/2006/main" xmlns:pic="http://schemas.openxmlformats.org/drawingml/2006/picture">
            <wp:extent cx="5029200" cy="3856528"/>
            <wp:docPr id="6" name="Picture 6"/>
            <wp:cNvGraphicFramePr>
              <a:graphicFrameLocks noChangeAspect="1"/>
            </wp:cNvGraphicFramePr>
            <a:graphic>
              <a:graphicData uri="http://schemas.openxmlformats.org/drawingml/2006/picture">
                <pic:pic>
                  <pic:nvPicPr>
                    <pic:cNvPr id="0" name="fig_simulation_operating_characteristics.png"/>
                    <pic:cNvPicPr/>
                  </pic:nvPicPr>
                  <pic:blipFill>
                    <a:blip r:embed="rId15"/>
                    <a:stretch>
                      <a:fillRect/>
                    </a:stretch>
                  </pic:blipFill>
                  <pic:spPr>
                    <a:xfrm>
                      <a:off x="0" y="0"/>
                      <a:ext cx="5029200" cy="3856528"/>
                    </a:xfrm>
                    <a:prstGeom prst="rect"/>
                  </pic:spPr>
                </pic:pic>
              </a:graphicData>
            </a:graphic>
          </wp:inline>
        </w:drawing>
      </w:r>
    </w:p>
    <w:p>
      <w:pPr>
        <w:jc w:val="left"/>
      </w:pPr>
      <w:r>
        <w:rPr>
          <w:rFonts w:ascii="Times New Roman" w:hAnsi="Times New Roman"/>
          <w:b/>
          <w:sz w:val="20"/>
        </w:rPr>
        <w:t xml:space="preserve">Figure 6. </w:t>
      </w:r>
      <w:r>
        <w:rPr>
          <w:rFonts w:ascii="Times New Roman" w:hAnsi="Times New Roman"/>
          <w:sz w:val="20"/>
        </w:rPr>
        <w:t>Operating characteristics of the simulation study. (A) Bias and RMSE for the target, RCT-enrolled-only, observational-only, fixed KOTHA (alpha = 0.3), and RMSE-optimal KOTHA estimators. (B) Coverage and power. Error bars in A show RMSE around the bias estimate; coverage and power are empirical proportions across replications.</w:t>
      </w:r>
    </w:p>
    <w:p>
      <w:pPr>
        <w:pStyle w:val="Heading2"/>
      </w:pPr>
      <w:r>
        <w:rPr>
          <w:rFonts w:ascii="Times New Roman" w:hAnsi="Times New Roman"/>
          <w:b/>
          <w:color w:val="000000"/>
          <w:sz w:val="24"/>
        </w:rPr>
        <w:t>4. Discussion</w:t>
      </w:r>
    </w:p>
    <w:p>
      <w:pPr>
        <w:pStyle w:val="Heading3"/>
      </w:pPr>
      <w:r>
        <w:rPr>
          <w:rFonts w:ascii="Times New Roman" w:hAnsi="Times New Roman"/>
          <w:b/>
          <w:color w:val="000000"/>
          <w:sz w:val="24"/>
        </w:rPr>
        <w:t>Principal findings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integrates counterfactual power simulation, Bayesian evidence synthesis, and structured GRADE interpretation to diagnose structural information loss in RCT meta-analyses. In the magnesium case, Module K identified an 18% relative decline in control event rates from the pre-thrombolysis era to ISIS-4. The divergence between pre-ISIS-4 and all-trials estimates is more consistent with era-dependent treatment effect heterogeneity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than with underpowering alone. In the statins case, Module K showed that RCT populations had roughly half the event rate of observational cohorts, and that power for a modest effect (HR = 0.85) dropped from 98% to 83%. Module T showed that even modest borrowing from observational evidence materially raised the posterior probability of benefit, yet the evidence remained uncertain. Module H classified magnesium as inconclusive with serious inconsistency (heterogeneity), and statins as inconclusive with serious indirectness, rather than "evidence of no effect."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simulation study formalizes the mechanism behind these empirical patterns. Under a transparent generative model with risk-dependent treatment effects and selective low-risk enrollment, the RCT-enrolled-only meta-analysis was biased toward the null and underpowered, while the observational-only estimate was biased toward spurious benefit. KOTHA with a fixed discount of</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reduced RMSE by 37% and increased power by 63 percentage points compared with RCT-enrolled-only analysis. These gains show that, in this stylized setting, the power-prior combination rule can improve operating characteristics when observational data contain relevant information that RCT enrollment discards and are appropriately down-weighted.</w:t>
      </w:r>
    </w:p>
    <w:p>
      <w:pPr>
        <w:pStyle w:val="Heading3"/>
      </w:pPr>
      <w:r>
        <w:rPr>
          <w:rFonts w:ascii="Times New Roman" w:hAnsi="Times New Roman"/>
          <w:b/>
          <w:color w:val="000000"/>
          <w:sz w:val="24"/>
        </w:rPr>
        <w:t>Implications for clinical trial design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K can also be used prospectively. Before a trial is conducted, investigators can use published or registry-derived event rates for the target population (S1), for the population expected to enroll under current eligibility criteria (S2), and for an enriched design (S3). This comparison can inform four design decisions: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Sample size</w:t>
      </w:r>
      <w:r>
        <w:rPr>
          <w:rFonts w:ascii="Times New Roman" w:hAnsi="Times New Roman" w:cs="Times New Roman" w:eastAsia="Times New Roman"/>
          <w:sz w:val="24"/>
          <w:szCs w:val="24"/>
        </w:rPr>
        <w:t xml:space="preserve">: required N can be calculated under S2 and S3 rather than under an assumed event rate that may not materialize.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Eligibility criteria</w:t>
      </w:r>
      <w:r>
        <w:rPr>
          <w:rFonts w:ascii="Times New Roman" w:hAnsi="Times New Roman" w:cs="Times New Roman" w:eastAsia="Times New Roman"/>
          <w:sz w:val="24"/>
          <w:szCs w:val="24"/>
        </w:rPr>
        <w:t xml:space="preserve">: the information cost of excluding high-risk subgroups can be quantified and balanced against safety considerations.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Enrichment thresholds</w:t>
      </w:r>
      <w:r>
        <w:rPr>
          <w:rFonts w:ascii="Times New Roman" w:hAnsi="Times New Roman" w:cs="Times New Roman" w:eastAsia="Times New Roman"/>
          <w:sz w:val="24"/>
          <w:szCs w:val="24"/>
        </w:rPr>
        <w:t xml:space="preserve">: a minimum proportion of high-risk patients can be prespecified and powered.</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Endpoints and follow-up</w:t>
      </w:r>
      <w:r>
        <w:rPr>
          <w:rFonts w:ascii="Times New Roman" w:hAnsi="Times New Roman" w:cs="Times New Roman" w:eastAsia="Times New Roman"/>
          <w:sz w:val="24"/>
          <w:szCs w:val="24"/>
        </w:rPr>
        <w:t xml:space="preserve">: when the primary event rate is diluted, composite endpoints or longer follow-up can be evaluated.</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This reframes the design question: sample size should be based on the event rate the enrolled population will actually show, not only on a hypothesized effect.</w:t>
      </w:r>
    </w:p>
    <w:p>
      <w:pPr>
        <w:pStyle w:val="Heading3"/>
      </w:pPr>
      <w:r>
        <w:rPr>
          <w:rFonts w:ascii="Times New Roman" w:hAnsi="Times New Roman"/>
          <w:b/>
          <w:color w:val="000000"/>
          <w:sz w:val="24"/>
        </w:rPr>
        <w:t>Comparison with existing methods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Target trial emulation uses observational data to mimic a specific RCT in order to estimate a causal effect </w:t>
      </w:r>
      <w:r>
        <w:rPr>
          <w:rFonts w:ascii="Times New Roman" w:hAnsi="Times New Roman" w:cs="Times New Roman" w:eastAsia="Times New Roman"/>
          <w:sz w:val="24"/>
          <w:szCs w:val="24"/>
        </w:rPr>
        <w:t xml:space="preserve">[27-28]</w:t>
      </w:r>
      <w:r>
        <w:rPr>
          <w:rFonts w:ascii="Times New Roman" w:hAnsi="Times New Roman" w:cs="Times New Roman" w:eastAsia="Times New Roman"/>
          <w:sz w:val="24"/>
          <w:szCs w:val="24"/>
        </w:rPr>
        <w:t xml:space="preserve">. Module K is complementary: it does not estimate effects but quantifies the information lost due to enrollment decisions. Existing methods for combining RCT and observational evidence include hierarchical models, power priors, and meta-analytic-predictive priors </w:t>
      </w:r>
      <w:r>
        <w:rPr>
          <w:rFonts w:ascii="Times New Roman" w:hAnsi="Times New Roman" w:cs="Times New Roman" w:eastAsia="Times New Roman"/>
          <w:sz w:val="24"/>
          <w:szCs w:val="24"/>
        </w:rPr>
        <w:t xml:space="preserve">[29-31]</w:t>
      </w:r>
      <w:r>
        <w:rPr>
          <w:rFonts w:ascii="Times New Roman" w:hAnsi="Times New Roman" w:cs="Times New Roman" w:eastAsia="Times New Roman"/>
          <w:sz w:val="24"/>
          <w:szCs w:val="24"/>
        </w:rPr>
        <w:t xml:space="preserve">. Module T builds on these but embeds them in a broader workflow that first diagnoses the need for integration and then interprets the result through Module H. TSA and OIS are well established </w:t>
      </w:r>
      <w:r>
        <w:rPr>
          <w:rFonts w:ascii="Times New Roman" w:hAnsi="Times New Roman" w:cs="Times New Roman" w:eastAsia="Times New Roman"/>
          <w:sz w:val="24"/>
          <w:szCs w:val="24"/>
        </w:rPr>
        <w:t xml:space="preserve">[6-9]</w:t>
      </w:r>
      <w:r>
        <w:rPr>
          <w:rFonts w:ascii="Times New Roman" w:hAnsi="Times New Roman" w:cs="Times New Roman" w:eastAsia="Times New Roman"/>
          <w:sz w:val="24"/>
          <w:szCs w:val="24"/>
        </w:rPr>
        <w:t xml:space="preserve">, but are not routinely used to quantify risk-profile shifts. GRADE provides domains for assessment </w:t>
      </w:r>
      <w:r>
        <w:rPr>
          <w:rFonts w:ascii="Times New Roman" w:hAnsi="Times New Roman" w:cs="Times New Roman" w:eastAsia="Times New Roman"/>
          <w:sz w:val="24"/>
          <w:szCs w:val="24"/>
        </w:rPr>
        <w:t xml:space="preserve">[1]</w:t>
      </w:r>
      <w:r>
        <w:rPr>
          <w:rFonts w:ascii="Times New Roman" w:hAnsi="Times New Roman" w:cs="Times New Roman" w:eastAsia="Times New Roman"/>
          <w:sz w:val="24"/>
          <w:szCs w:val="24"/>
        </w:rPr>
        <w:t xml:space="preserve">; KOTHA provides quantitative inputs to the imprecision and indirectness domains without changing GRADE's structure.</w:t>
      </w:r>
    </w:p>
    <w:p>
      <w:pPr>
        <w:pStyle w:val="Heading3"/>
      </w:pPr>
      <w:r>
        <w:rPr>
          <w:rFonts w:ascii="Times New Roman" w:hAnsi="Times New Roman"/>
          <w:b/>
          <w:color w:val="000000"/>
          <w:sz w:val="24"/>
        </w:rPr>
        <w:t>Strengths and limitations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framework is reproducible from published aggregate data, follows the ADEMP reporting structure </w:t>
      </w:r>
      <w:r>
        <w:rPr>
          <w:rFonts w:ascii="Times New Roman" w:hAnsi="Times New Roman" w:cs="Times New Roman" w:eastAsia="Times New Roman"/>
          <w:sz w:val="24"/>
          <w:szCs w:val="24"/>
        </w:rPr>
        <w:t xml:space="preserve">[10]</w:t>
      </w:r>
      <w:r>
        <w:rPr>
          <w:rFonts w:ascii="Times New Roman" w:hAnsi="Times New Roman" w:cs="Times New Roman" w:eastAsia="Times New Roman"/>
          <w:sz w:val="24"/>
          <w:szCs w:val="24"/>
        </w:rPr>
        <w:t xml:space="preserve">, and is illustrated with real, well-documented cases. The operating-characteristics simulation is transparent: parameters, generative process, and metrics are reported explicitly. It shows that the power-prior combination rule can improve estimation and power under the specified structural information loss. The modular design allows each component to be used independently.</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Limitations: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cases are retrospective applications of the framework to published aggregate data; individual patient data would strengthen risk-profile stratification and adjustment for confounders, and ecological bias may affect the representativeness assessment.</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For statins, the observational and RCT crude event proportions are aggregate study-level values, so the comparison is ecological and may not reflect within-individual risk differences.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hazard-ratio-to-odds-ratio approximation and the use of a crude event proportion (rather than an event rate per person-time) mean Module K estimates relative power loss across enrollment scenarios, not a definitive sample size for a specific follow-up.</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For statins, the S3 enrichment target is set at the midpoint between the observational and RCT crude proportions as an illustration; other thresholds would yield different power curves.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magnesium case spans the pre-thrombolysis and thrombolysis eras, so temporal changes in standard care, case mix, and outcome ascertainment create treatment-era confounding that cannot be fully controlled with aggregate data.</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Prospective validation against trials whose results are not yet known would be stronger.</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operating-characteristics simulation is intentionally stylized: it uses a single data-generating model with risk-dependent effects, one selection mechanism, and normal-approximation power priors. It demonstrates that KOTHA can improve operating characteristics under transparent assumptions, but it does not establish general optimality of any fixed discounting factor.</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Module T treats the discounting parameter</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as a fixed sensitivity parameter and is therefore sensitive to assumptions about residual confounding; we present the full grid of values but do not claim a single preferred</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magnesium case involves genuine treatment-effect heterogeneity across thrombolysis eras, which Module K identifies but cannot fully explain.</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Finally, adoption by guideline groups will require institutional change beyond the method itself.</w:t>
      </w:r>
    </w:p>
    <w:p>
      <w:pPr>
        <w:pStyle w:val="Heading2"/>
      </w:pPr>
      <w:r>
        <w:rPr>
          <w:rFonts w:ascii="Times New Roman" w:hAnsi="Times New Roman"/>
          <w:b/>
          <w:color w:val="000000"/>
          <w:sz w:val="24"/>
        </w:rPr>
        <w:t>5. Conclusions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(Knowledge-driven Observational-Trial Harmonization Approach) diagnoses structural information loss in RCT meta-analyses through counterfactual power simulation, hierarchical Bayesian evidence integration, and structured GRADE-compatible interpretation. Empirical application to magnesium in AMI and statins in heart failure shows that the framework can identify enrollment-driven event dilution, quantify its impact on statistical power, and produce more nuanced evidence assessments than standard approaches. By informing sample size, eligibility, enrichment, and endpoint decisions, KOTHA offers a reproducible design aid for future clinical trials.</w:t>
      </w:r>
    </w:p>
    <w:p>
      <w:pPr>
        <w:pStyle w:val="Heading2"/>
      </w:pPr>
      <w:r>
        <w:rPr>
          <w:rFonts w:ascii="Times New Roman" w:hAnsi="Times New Roman"/>
          <w:b/>
          <w:color w:val="000000"/>
          <w:sz w:val="24"/>
        </w:rPr>
        <w:t>Declarations</w:t>
      </w:r>
    </w:p>
    <w:p>
      <w:pPr>
        <w:pStyle w:val="Heading3"/>
      </w:pPr>
      <w:r>
        <w:rPr>
          <w:rFonts w:ascii="Times New Roman" w:hAnsi="Times New Roman"/>
          <w:b/>
          <w:color w:val="000000"/>
          <w:sz w:val="24"/>
        </w:rPr>
        <w:t>Ethics approval and consent to participate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 This study proposes a methodological framework and uses only published aggregate data.</w:t>
      </w:r>
    </w:p>
    <w:p>
      <w:pPr>
        <w:pStyle w:val="Heading3"/>
      </w:pPr>
      <w:r>
        <w:rPr>
          <w:rFonts w:ascii="Times New Roman" w:hAnsi="Times New Roman"/>
          <w:b/>
          <w:color w:val="000000"/>
          <w:sz w:val="24"/>
        </w:rPr>
        <w:t>Consent for publication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w:t>
      </w:r>
    </w:p>
    <w:p>
      <w:pPr>
        <w:pStyle w:val="Heading3"/>
      </w:pPr>
      <w:r>
        <w:rPr>
          <w:rFonts w:ascii="Times New Roman" w:hAnsi="Times New Roman"/>
          <w:b/>
          <w:color w:val="000000"/>
          <w:sz w:val="24"/>
        </w:rPr>
        <w:t>Availability of data and materials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All data are from published sources and are included in the repository (https://github.com/bougtoir/kotha-rct-decomposition). Python code that reproduces all results, tables, and figures is available in the same repository.</w:t>
      </w:r>
    </w:p>
    <w:p>
      <w:pPr>
        <w:pStyle w:val="Heading3"/>
      </w:pPr>
      <w:r>
        <w:rPr>
          <w:rFonts w:ascii="Times New Roman" w:hAnsi="Times New Roman"/>
          <w:b/>
          <w:color w:val="000000"/>
          <w:sz w:val="24"/>
        </w:rPr>
        <w:t>Trial registration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 This manuscript presents a methodological framework and retrospective case illustrations; no prospective clinical trial was conducted.</w:t>
      </w:r>
    </w:p>
    <w:p>
      <w:pPr>
        <w:pStyle w:val="Heading3"/>
      </w:pPr>
      <w:r>
        <w:rPr>
          <w:rFonts w:ascii="Times New Roman" w:hAnsi="Times New Roman"/>
          <w:b/>
          <w:color w:val="000000"/>
          <w:sz w:val="24"/>
        </w:rPr>
        <w:t>Declaration of competing interest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authors declare no competing interests.</w:t>
      </w:r>
    </w:p>
    <w:p>
      <w:pPr>
        <w:pStyle w:val="Heading3"/>
      </w:pPr>
      <w:r>
        <w:rPr>
          <w:rFonts w:ascii="Times New Roman" w:hAnsi="Times New Roman"/>
          <w:b/>
          <w:color w:val="000000"/>
          <w:sz w:val="24"/>
        </w:rPr>
        <w:t>Funding source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 funding was received for this study.</w:t>
      </w:r>
    </w:p>
    <w:p>
      <w:pPr>
        <w:pStyle w:val="Heading3"/>
      </w:pPr>
      <w:r>
        <w:rPr>
          <w:rFonts w:ascii="Times New Roman" w:hAnsi="Times New Roman"/>
          <w:b/>
          <w:color w:val="000000"/>
          <w:sz w:val="24"/>
        </w:rPr>
        <w:t>Authors' contributions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All authors contributed to the development of the KOTHA framework and the preparation of the manuscript. Author-specific contributions will be documented once the final author list is established.</w:t>
      </w:r>
    </w:p>
    <w:p>
      <w:pPr>
        <w:pStyle w:val="Heading3"/>
      </w:pPr>
      <w:r>
        <w:rPr>
          <w:rFonts w:ascii="Times New Roman" w:hAnsi="Times New Roman"/>
          <w:b/>
          <w:color w:val="000000"/>
          <w:sz w:val="24"/>
        </w:rPr>
        <w:t>Acknowledgements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None.</w:t>
      </w:r>
    </w:p>
    <w:p>
      <w:pPr>
        <w:pStyle w:val="Heading2"/>
      </w:pPr>
      <w:r>
        <w:rPr>
          <w:rFonts w:ascii="Times New Roman" w:hAnsi="Times New Roman"/>
          <w:b/>
          <w:color w:val="000000"/>
          <w:sz w:val="24"/>
        </w:rPr>
        <w:t>References</w:t>
      </w:r>
    </w:p>
    <w:p>
      <w:r>
        <w:rPr>
          <w:rFonts w:ascii="Times New Roman" w:hAnsi="Times New Roman"/>
          <w:sz w:val="20"/>
        </w:rPr>
        <w:t>[1] Guyatt GH, Oxman AD, Vist GE, et al. GRADE: an emerging consensus on rating quality of evidence and strength of recommendations. BMJ 2008; 336(7650): 924-6.</w:t>
      </w:r>
    </w:p>
    <w:p>
      <w:r>
        <w:rPr>
          <w:rFonts w:ascii="Times New Roman" w:hAnsi="Times New Roman"/>
          <w:sz w:val="20"/>
        </w:rPr>
        <w:t>[2] Concato J, Shah N and Horwitz RI. Randomized, controlled trials, observational studies, and the hierarchy of research designs. N Engl J Med 2000; 342(25): 1887-92.</w:t>
      </w:r>
    </w:p>
    <w:p>
      <w:r>
        <w:rPr>
          <w:rFonts w:ascii="Times New Roman" w:hAnsi="Times New Roman"/>
          <w:sz w:val="20"/>
        </w:rPr>
        <w:t>[3] Anglemyer A, Horvath HT and Bero L. Healthcare outcomes assessed with observational study designs compared with those assessed in randomized trials. Cochrane Database Syst Rev 2014; (4): MR000034.</w:t>
      </w:r>
    </w:p>
    <w:p>
      <w:r>
        <w:rPr>
          <w:rFonts w:ascii="Times New Roman" w:hAnsi="Times New Roman"/>
          <w:sz w:val="20"/>
        </w:rPr>
        <w:t>[4] Kennedy-Martin T, Curtis S, Faries D, et al. A literature review on the representativeness of randomized controlled trial samples and implications for the external validity of trial results. Trials 2015; 16: 495.</w:t>
      </w:r>
    </w:p>
    <w:p>
      <w:r>
        <w:rPr>
          <w:rFonts w:ascii="Times New Roman" w:hAnsi="Times New Roman"/>
          <w:sz w:val="20"/>
        </w:rPr>
        <w:t>[5] Rothwell PM. External validity of randomised controlled trials: "to whom do the results of this trial apply?" Lancet 2005; 365(9453): 82-93.</w:t>
      </w:r>
    </w:p>
    <w:p>
      <w:r>
        <w:rPr>
          <w:rFonts w:ascii="Times New Roman" w:hAnsi="Times New Roman"/>
          <w:sz w:val="20"/>
        </w:rPr>
        <w:t>[6] Pogue JM and Yusuf S. Cumulating evidence from randomized trials: utilizing sequential monitoring boundaries for cumulative meta-analysis. Control Clin Trials 1997; 18(6): 580-93.</w:t>
      </w:r>
    </w:p>
    <w:p>
      <w:r>
        <w:rPr>
          <w:rFonts w:ascii="Times New Roman" w:hAnsi="Times New Roman"/>
          <w:sz w:val="20"/>
        </w:rPr>
        <w:t>[7] Wetterslev J, Thorlund K, Brok J, et al. Estimating required information size by quantifying diversity in random-effects model meta-analyses. BMC Med Res Methodol 2009; 9: 86.</w:t>
      </w:r>
    </w:p>
    <w:p>
      <w:r>
        <w:rPr>
          <w:rFonts w:ascii="Times New Roman" w:hAnsi="Times New Roman"/>
          <w:sz w:val="20"/>
        </w:rPr>
        <w:t>[8] Brok J, Thorlund K, Gluud C, et al. Trial sequential analysis reveals insufficient information size and potentially false positive results in many meta-analyses. J Clin Epidemiol 2008; 61(8): 763-9.</w:t>
      </w:r>
    </w:p>
    <w:p>
      <w:r>
        <w:rPr>
          <w:rFonts w:ascii="Times New Roman" w:hAnsi="Times New Roman"/>
          <w:sz w:val="20"/>
        </w:rPr>
        <w:t>[9] Thorlund K, Engstrom J, Wetterslev J, et al. User manual for trial sequential analysis (TSA). Copenhagen Trial Unit, Centre for Clinical Intervention Research; 2011.</w:t>
      </w:r>
    </w:p>
    <w:p>
      <w:r>
        <w:rPr>
          <w:rFonts w:ascii="Times New Roman" w:hAnsi="Times New Roman"/>
          <w:sz w:val="20"/>
        </w:rPr>
        <w:t>[10] Morris TP, White IR and Crowther MJ. Using simulation studies to evaluate statistical methods. Stat Med 2019; 38(11): 2074-102.</w:t>
      </w:r>
    </w:p>
    <w:p>
      <w:r>
        <w:rPr>
          <w:rFonts w:ascii="Times New Roman" w:hAnsi="Times New Roman"/>
          <w:sz w:val="20"/>
        </w:rPr>
        <w:t>[11] Schoenfeld DA. Sample-size formula for the proportional-hazards regression model. Biometrics 1983; 39(2): 499-503.</w:t>
      </w:r>
    </w:p>
    <w:p>
      <w:r>
        <w:rPr>
          <w:rFonts w:ascii="Times New Roman" w:hAnsi="Times New Roman"/>
          <w:sz w:val="20"/>
        </w:rPr>
        <w:t>[12] Ibrahim JG and Chen MH. Power prior distributions for regression models. Stat Sci 2000; 15(1): 46-60.</w:t>
      </w:r>
    </w:p>
    <w:p>
      <w:r>
        <w:rPr>
          <w:rFonts w:ascii="Times New Roman" w:hAnsi="Times New Roman"/>
          <w:sz w:val="20"/>
        </w:rPr>
        <w:t>[13] McCaw ZR, Yin G and Wei LJ. Using the restricted mean survival time difference as an alternative to the hazard ratio for analyzing clinical cardiovascular studies. Circulation 2019; 140(17): 1366-8. doi:10.1161/CIRCULATIONAHA.119.040680.</w:t>
      </w:r>
    </w:p>
    <w:p>
      <w:r>
        <w:rPr>
          <w:rFonts w:ascii="Times New Roman" w:hAnsi="Times New Roman"/>
          <w:sz w:val="20"/>
        </w:rPr>
        <w:t>[14] Boyd AP, Kittelson JM and Gillen DL. Estimation of treatment effect under non-proportional hazards and conditionally independent censoring. Stat Med 2012; 31(28): 3504-15. doi:10.1002/sim.5440.</w:t>
      </w:r>
    </w:p>
    <w:p>
      <w:r>
        <w:rPr>
          <w:rFonts w:ascii="Times New Roman" w:hAnsi="Times New Roman"/>
          <w:sz w:val="20"/>
        </w:rPr>
        <w:t>[15] Sherry AD, Msaouel P, Kupferman GS, et al. Evidence-based prior for estimating the treatment effect of phase III randomized trials in oncology. JCO Precis Oncol 2024; 8: e2400363. doi:10.1200/PO.24.00363.</w:t>
      </w:r>
    </w:p>
    <w:p>
      <w:r>
        <w:rPr>
          <w:rFonts w:ascii="Times New Roman" w:hAnsi="Times New Roman"/>
          <w:sz w:val="20"/>
        </w:rPr>
        <w:t>[16] Foreman-Mackey D, Hogg DW, Lang D, et al. emcee: the MCMC hammer. Publ Astron Soc Pac 2013; 125(925): 306-12.</w:t>
      </w:r>
    </w:p>
    <w:p>
      <w:r>
        <w:rPr>
          <w:rFonts w:ascii="Times New Roman" w:hAnsi="Times New Roman"/>
          <w:sz w:val="20"/>
        </w:rPr>
        <w:t>[17] Teo KK, Yusuf S, Collins R, et al. Effects of intravenous magnesium in suspected acute myocardial infarction: overview of randomised trials. BMJ 1991; 303(6816): 1499-503.</w:t>
      </w:r>
    </w:p>
    <w:p>
      <w:r>
        <w:rPr>
          <w:rFonts w:ascii="Times New Roman" w:hAnsi="Times New Roman"/>
          <w:sz w:val="20"/>
        </w:rPr>
        <w:t>[18] Li J, Zhang Q, Zhang M, et al. Intravenous magnesium for acute myocardial infarction. Cochrane Database Syst Rev 2007; (2): CD002755.</w:t>
      </w:r>
    </w:p>
    <w:p>
      <w:r>
        <w:rPr>
          <w:rFonts w:ascii="Times New Roman" w:hAnsi="Times New Roman"/>
          <w:sz w:val="20"/>
        </w:rPr>
        <w:t>[19] Anker SD, Clark AL, Winkler R, et al. Statin use and survival in patients with chronic heart failure -- results from two observational studies with 5200 patients. Int J Cardiol 2006; 112(2): 234-42.</w:t>
      </w:r>
    </w:p>
    <w:p>
      <w:r>
        <w:rPr>
          <w:rFonts w:ascii="Times New Roman" w:hAnsi="Times New Roman"/>
          <w:sz w:val="20"/>
        </w:rPr>
        <w:t>[20] Mozaffarian D, Nye R and Levy WC. Statin therapy is associated with lower mortality among patients with severe heart failure. Am J Cardiol 2004; 93(9): 1124-9.</w:t>
      </w:r>
    </w:p>
    <w:p>
      <w:r>
        <w:rPr>
          <w:rFonts w:ascii="Times New Roman" w:hAnsi="Times New Roman"/>
          <w:sz w:val="20"/>
        </w:rPr>
        <w:t>[21] Horwich TB, MacLellan WR and Fonarow GC. Statin therapy is associated with improved survival in ischemic and non-ischemic heart failure. J Am Coll Cardiol 2004; 43(4): 642-8.</w:t>
      </w:r>
    </w:p>
    <w:p>
      <w:r>
        <w:rPr>
          <w:rFonts w:ascii="Times New Roman" w:hAnsi="Times New Roman"/>
          <w:sz w:val="20"/>
        </w:rPr>
        <w:t>[22] Go AS, Lee WY, Yang J, et al. Statin therapy and risks for death and hospitalization in chronic heart failure. JAMA 2006; 296(17): 2105-11.</w:t>
      </w:r>
    </w:p>
    <w:p>
      <w:r>
        <w:rPr>
          <w:rFonts w:ascii="Times New Roman" w:hAnsi="Times New Roman"/>
          <w:sz w:val="20"/>
        </w:rPr>
        <w:t>[23] Foody JM, Shah R, Galusha D, et al. Statins and mortality among elderly patients hospitalized with heart failure. Circulation 2006; 113(8): 1086-92.</w:t>
      </w:r>
    </w:p>
    <w:p>
      <w:r>
        <w:rPr>
          <w:rFonts w:ascii="Times New Roman" w:hAnsi="Times New Roman"/>
          <w:sz w:val="20"/>
        </w:rPr>
        <w:t>[24] Kjekshus J, Apetrei E, Barrios V, et al. Rosuvastatin in older patients with systolic heart failure. N Engl J Med 2007; 357(22): 2248-61.</w:t>
      </w:r>
    </w:p>
    <w:p>
      <w:r>
        <w:rPr>
          <w:rFonts w:ascii="Times New Roman" w:hAnsi="Times New Roman"/>
          <w:sz w:val="20"/>
        </w:rPr>
        <w:t>[25] GISSI-HF Investigators. Effect of rosuvastatin in patients with chronic heart failure (the GISSI-HF trial): a randomised, double-blind, placebo-controlled trial. Lancet 2008; 372(9645): 1231-9.</w:t>
      </w:r>
    </w:p>
    <w:p>
      <w:r>
        <w:rPr>
          <w:rFonts w:ascii="Times New Roman" w:hAnsi="Times New Roman"/>
          <w:sz w:val="20"/>
        </w:rPr>
        <w:t>[26] DerSimonian R and Laird N. Meta-analysis in clinical trials. Control Clin Trials 1986; 7(3): 177-88.</w:t>
      </w:r>
    </w:p>
    <w:p>
      <w:r>
        <w:rPr>
          <w:rFonts w:ascii="Times New Roman" w:hAnsi="Times New Roman"/>
          <w:sz w:val="20"/>
        </w:rPr>
        <w:t>[27] Hernan MA and Robins JM. Using big data to emulate a target trial when a randomized trial is not available. Am J Epidemiol 2016; 183(8): 758-64.</w:t>
      </w:r>
    </w:p>
    <w:p>
      <w:r>
        <w:rPr>
          <w:rFonts w:ascii="Times New Roman" w:hAnsi="Times New Roman"/>
          <w:sz w:val="20"/>
        </w:rPr>
        <w:t>[28] Hernan MA, Wang W and Leaf DE. Target trial emulation: a framework for causal inference from observational data. JAMA 2022; 328(24): 2446-7.</w:t>
      </w:r>
    </w:p>
    <w:p>
      <w:r>
        <w:rPr>
          <w:rFonts w:ascii="Times New Roman" w:hAnsi="Times New Roman"/>
          <w:sz w:val="20"/>
        </w:rPr>
        <w:t>[29] Schmidli H, Gsteiger S, Roychoudhury S, et al. Robust meta-analytic-predictive priors in clinical trials with historical control information. Biometrics 2014; 70(4): 1023-32.</w:t>
      </w:r>
    </w:p>
    <w:p>
      <w:r>
        <w:rPr>
          <w:rFonts w:ascii="Times New Roman" w:hAnsi="Times New Roman"/>
          <w:sz w:val="20"/>
        </w:rPr>
        <w:t>[30] Verde PE and Ohmann C. Combining randomized and non-randomized evidence in clinical research: a review of methods and applications. Res Synth Methods 2015; 6(1): 45-62.</w:t>
      </w:r>
    </w:p>
    <w:p>
      <w:r>
        <w:rPr>
          <w:rFonts w:ascii="Times New Roman" w:hAnsi="Times New Roman"/>
          <w:sz w:val="20"/>
        </w:rPr>
        <w:t>[31] Efthimiou O, Mavridis D, Debray TPA, et al. Combining randomized and non-randomized evidence in network meta-analysis. Stat Med 2017; 36(8): 1210-26.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szCs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2025-01-01T00:00:00Z</dcterms:created>
  <dcterms:modified xsi:type="dcterms:W3CDTF">2025-01-01T00:00:00Z</dcterms:modified>
  <cp:category/>
</cp:coreProperties>
</file>